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DC5580">
      <w:pPr>
        <w:rPr>
          <w:rFonts w:hint="eastAsia" w:ascii="黑体" w:hAnsi="黑体" w:eastAsia="黑体"/>
          <w:sz w:val="32"/>
          <w:szCs w:val="32"/>
        </w:rPr>
      </w:pPr>
    </w:p>
    <w:p w14:paraId="14C9061D">
      <w:pPr>
        <w:jc w:val="center"/>
        <w:rPr>
          <w:rFonts w:hint="eastAsia" w:ascii="方正小标宋_GBK" w:hAnsi="宋体" w:eastAsia="方正小标宋_GBK"/>
          <w:sz w:val="44"/>
          <w:szCs w:val="44"/>
        </w:rPr>
      </w:pPr>
    </w:p>
    <w:p w14:paraId="7EFC4EB0">
      <w:pPr>
        <w:jc w:val="center"/>
        <w:rPr>
          <w:rFonts w:hint="eastAsia" w:ascii="方正小标宋_GBK" w:hAnsi="宋体" w:eastAsia="方正小标宋_GBK"/>
          <w:sz w:val="44"/>
          <w:szCs w:val="44"/>
        </w:rPr>
      </w:pPr>
      <w:r>
        <w:rPr>
          <w:rFonts w:hint="eastAsia" w:ascii="方正小标宋_GBK" w:hAnsi="宋体" w:eastAsia="方正小标宋_GBK"/>
          <w:sz w:val="44"/>
          <w:szCs w:val="44"/>
        </w:rPr>
        <w:t>木垒哈萨克自治县雀仁乡中心学校</w:t>
      </w:r>
    </w:p>
    <w:p w14:paraId="3063B312">
      <w:pPr>
        <w:jc w:val="center"/>
        <w:rPr>
          <w:rFonts w:hint="eastAsia" w:ascii="方正小标宋_GBK" w:hAnsi="宋体" w:eastAsia="方正小标宋_GBK"/>
          <w:sz w:val="44"/>
          <w:szCs w:val="44"/>
        </w:rPr>
      </w:pPr>
      <w:r>
        <w:rPr>
          <w:rFonts w:hint="eastAsia" w:ascii="方正小标宋_GBK" w:hAnsi="宋体" w:eastAsia="方正小标宋_GBK"/>
          <w:sz w:val="44"/>
          <w:szCs w:val="44"/>
        </w:rPr>
        <w:t>2023年度部门决算</w:t>
      </w:r>
    </w:p>
    <w:p w14:paraId="7BD97A33">
      <w:pPr>
        <w:jc w:val="center"/>
        <w:rPr>
          <w:rFonts w:hint="eastAsia" w:ascii="方正小标宋_GBK" w:hAnsi="宋体" w:eastAsia="方正小标宋_GBK"/>
          <w:sz w:val="44"/>
          <w:szCs w:val="44"/>
        </w:rPr>
      </w:pPr>
      <w:r>
        <w:rPr>
          <w:rFonts w:hint="eastAsia" w:ascii="方正小标宋_GBK" w:hAnsi="宋体" w:eastAsia="方正小标宋_GBK"/>
          <w:sz w:val="44"/>
          <w:szCs w:val="44"/>
        </w:rPr>
        <w:t>公开说明</w:t>
      </w:r>
    </w:p>
    <w:p w14:paraId="6131ED5D">
      <w:pPr>
        <w:rPr>
          <w:rFonts w:hint="eastAsia" w:ascii="方正小标宋_GBK" w:hAnsi="宋体" w:eastAsia="方正小标宋_GBK"/>
          <w:sz w:val="44"/>
          <w:szCs w:val="44"/>
        </w:rPr>
      </w:pPr>
      <w:r>
        <w:rPr>
          <w:rFonts w:hint="eastAsia" w:ascii="方正小标宋_GBK" w:hAnsi="宋体" w:eastAsia="方正小标宋_GBK"/>
          <w:sz w:val="44"/>
          <w:szCs w:val="44"/>
        </w:rPr>
        <w:br w:type="page"/>
      </w:r>
    </w:p>
    <w:p w14:paraId="536BE5EC">
      <w:pPr>
        <w:jc w:val="center"/>
        <w:rPr>
          <w:rFonts w:hint="eastAsia"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14:paraId="6D60601B">
      <w:pPr>
        <w:pStyle w:val="6"/>
        <w:tabs>
          <w:tab w:val="right" w:pos="8306"/>
        </w:tabs>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2553CFB1">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1B5371B9">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14:paraId="6B3E976D">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5B442CE7">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617B80F1">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5A0E9463">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7C5F76F3">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75633213">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7984EF05">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7BD29736">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14:paraId="58FFF152">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14:paraId="6DD9B69F">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14:paraId="543FD7D0">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14:paraId="30472FB0">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14:paraId="35FD46B5">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508E6A71">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02963EFB">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58FAD310">
      <w:pPr>
        <w:pStyle w:val="7"/>
        <w:tabs>
          <w:tab w:val="right" w:pos="8306"/>
        </w:tabs>
        <w:ind w:left="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14:paraId="297FE947">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2B2518D1">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4935E377">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33642865">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246E6E34">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3B868D9E">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33F3C03D">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2922B5D5">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33A685C5">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14:paraId="1666A4CB">
      <w:pPr>
        <w:pStyle w:val="7"/>
        <w:tabs>
          <w:tab w:val="right" w:pos="8306"/>
        </w:tabs>
        <w:ind w:left="0" w:leftChars="0"/>
        <w:rPr>
          <w:rFonts w:hint="eastAsia"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14:paraId="7ACCCB7F">
      <w:pPr>
        <w:pStyle w:val="7"/>
        <w:tabs>
          <w:tab w:val="right" w:pos="8306"/>
        </w:tabs>
        <w:ind w:left="0" w:leftChars="0"/>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14:paraId="1DA7B97B">
      <w:r>
        <w:rPr>
          <w:rFonts w:hint="eastAsia" w:ascii="仿宋_GB2312" w:hAnsi="仿宋_GB2312" w:eastAsia="仿宋_GB2312" w:cs="仿宋_GB2312"/>
          <w:sz w:val="32"/>
          <w:szCs w:val="32"/>
        </w:rPr>
        <w:fldChar w:fldCharType="end"/>
      </w:r>
    </w:p>
    <w:p w14:paraId="46835E5A">
      <w:pPr>
        <w:rPr>
          <w:rFonts w:ascii="仿宋_GB2312" w:eastAsia="仿宋_GB2312"/>
          <w:sz w:val="32"/>
          <w:szCs w:val="32"/>
        </w:rPr>
      </w:pPr>
      <w:r>
        <w:rPr>
          <w:rFonts w:hint="eastAsia" w:ascii="仿宋_GB2312" w:eastAsia="仿宋_GB2312"/>
          <w:sz w:val="32"/>
          <w:szCs w:val="32"/>
        </w:rPr>
        <w:br w:type="page"/>
      </w:r>
    </w:p>
    <w:p w14:paraId="38C78527">
      <w:pPr>
        <w:jc w:val="center"/>
        <w:outlineLvl w:val="0"/>
        <w:rPr>
          <w:rFonts w:hint="eastAsia" w:ascii="黑体" w:hAnsi="黑体" w:eastAsia="黑体"/>
          <w:sz w:val="32"/>
          <w:szCs w:val="32"/>
        </w:rPr>
      </w:pPr>
      <w:bookmarkStart w:id="0" w:name="_Toc24028"/>
      <w:bookmarkStart w:id="1" w:name="_Toc32314"/>
      <w:r>
        <w:rPr>
          <w:rFonts w:hint="eastAsia" w:ascii="黑体" w:hAnsi="黑体" w:eastAsia="黑体"/>
          <w:sz w:val="32"/>
          <w:szCs w:val="32"/>
        </w:rPr>
        <w:t>第一部分 单位概况</w:t>
      </w:r>
      <w:bookmarkEnd w:id="0"/>
      <w:bookmarkEnd w:id="1"/>
    </w:p>
    <w:p w14:paraId="594BF691">
      <w:pPr>
        <w:ind w:firstLine="640" w:firstLineChars="200"/>
        <w:outlineLvl w:val="1"/>
        <w:rPr>
          <w:rFonts w:hint="eastAsia" w:ascii="黑体" w:hAnsi="黑体" w:eastAsia="黑体" w:cs="宋体"/>
          <w:bCs/>
          <w:kern w:val="0"/>
          <w:sz w:val="32"/>
          <w:szCs w:val="32"/>
        </w:rPr>
      </w:pPr>
      <w:bookmarkStart w:id="2" w:name="_Toc30738"/>
      <w:bookmarkStart w:id="3" w:name="_Toc30567"/>
      <w:r>
        <w:rPr>
          <w:rFonts w:hint="eastAsia" w:ascii="黑体" w:hAnsi="黑体" w:eastAsia="黑体" w:cs="宋体"/>
          <w:bCs/>
          <w:kern w:val="0"/>
          <w:sz w:val="32"/>
          <w:szCs w:val="32"/>
        </w:rPr>
        <w:t>一、主要职能</w:t>
      </w:r>
      <w:bookmarkEnd w:id="2"/>
      <w:bookmarkEnd w:id="3"/>
    </w:p>
    <w:p w14:paraId="61AF25FC">
      <w:pPr>
        <w:widowControl/>
        <w:spacing w:line="560" w:lineRule="exact"/>
        <w:ind w:firstLine="640" w:firstLineChars="200"/>
        <w:jc w:val="left"/>
        <w:rPr>
          <w:rFonts w:hint="eastAsia" w:ascii="仿宋_GB2312" w:hAnsi="仿宋" w:eastAsia="仿宋_GB2312" w:cs="宋体"/>
          <w:bCs/>
          <w:kern w:val="0"/>
          <w:sz w:val="32"/>
          <w:szCs w:val="32"/>
        </w:rPr>
      </w:pPr>
      <w:r>
        <w:rPr>
          <w:rFonts w:hint="eastAsia" w:ascii="仿宋_GB2312" w:hAnsi="仿宋" w:eastAsia="仿宋_GB2312" w:cs="宋体"/>
          <w:bCs/>
          <w:kern w:val="0"/>
          <w:sz w:val="32"/>
          <w:szCs w:val="32"/>
        </w:rPr>
        <w:t>木垒哈萨克自治县雀仁乡中心学校的主要职能是实施小学义务教育，促进基础教育发展，小学学历教育。</w:t>
      </w:r>
    </w:p>
    <w:p w14:paraId="523F0ADE">
      <w:pPr>
        <w:ind w:firstLine="640" w:firstLineChars="200"/>
        <w:jc w:val="left"/>
        <w:rPr>
          <w:rFonts w:ascii="仿宋_GB2312" w:eastAsia="仿宋_GB2312"/>
          <w:sz w:val="32"/>
          <w:szCs w:val="32"/>
        </w:rPr>
      </w:pPr>
      <w:r>
        <w:rPr>
          <w:rFonts w:hint="eastAsia" w:ascii="仿宋_GB2312" w:hAnsi="仿宋" w:eastAsia="仿宋_GB2312" w:cs="宋体"/>
          <w:bCs/>
          <w:kern w:val="0"/>
          <w:sz w:val="32"/>
          <w:szCs w:val="32"/>
        </w:rPr>
        <w:t>木垒哈萨克自治县雀仁乡幼儿园负责为学龄前儿童提供保育和教育服务。以培养幼儿创新精神和实践动手能力为核心，结合主题活动的开展和区域环境的布置进一步增强幼儿动手操作的兴趣，给每个幼儿提供充分动脑动手的机会，孩子们在参与的过程中，</w:t>
      </w:r>
      <w:r>
        <w:rPr>
          <w:rFonts w:hint="eastAsia" w:ascii="仿宋_GB2312" w:hAnsi="仿宋" w:eastAsia="仿宋_GB2312" w:cs="宋体"/>
          <w:bCs/>
          <w:kern w:val="0"/>
          <w:sz w:val="32"/>
          <w:szCs w:val="32"/>
          <w:lang w:eastAsia="zh-CN"/>
        </w:rPr>
        <w:t>主动地</w:t>
      </w:r>
      <w:r>
        <w:rPr>
          <w:rFonts w:hint="eastAsia" w:ascii="仿宋_GB2312" w:hAnsi="仿宋" w:eastAsia="仿宋_GB2312" w:cs="宋体"/>
          <w:bCs/>
          <w:kern w:val="0"/>
          <w:sz w:val="32"/>
          <w:szCs w:val="32"/>
        </w:rPr>
        <w:t>去思考、去实践，感受其中的乐趣。建构健康、平等、和谐的师幼环境，要求教师爱护、尊重、赏识每一个孩子，平等、宽容地对待每一个孩子，站在孩子的立场，积极鼓励孩子，努力使他们成为自信、活泼、健康、快乐的孩子</w:t>
      </w:r>
      <w:r>
        <w:rPr>
          <w:rFonts w:hint="eastAsia" w:ascii="仿宋_GB2312" w:eastAsia="仿宋_GB2312"/>
          <w:sz w:val="32"/>
          <w:szCs w:val="32"/>
        </w:rPr>
        <w:t>。</w:t>
      </w:r>
    </w:p>
    <w:p w14:paraId="5790B998">
      <w:pPr>
        <w:ind w:firstLine="640" w:firstLineChars="200"/>
        <w:outlineLvl w:val="1"/>
        <w:rPr>
          <w:rFonts w:hint="eastAsia" w:ascii="黑体" w:hAnsi="黑体" w:eastAsia="黑体" w:cs="宋体"/>
          <w:bCs/>
          <w:kern w:val="0"/>
          <w:sz w:val="32"/>
          <w:szCs w:val="32"/>
        </w:rPr>
      </w:pPr>
      <w:bookmarkStart w:id="4" w:name="_Toc31238"/>
      <w:bookmarkStart w:id="5" w:name="_Toc2151"/>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14:paraId="662CD8FA">
      <w:pPr>
        <w:ind w:firstLine="640" w:firstLineChars="200"/>
        <w:jc w:val="left"/>
        <w:rPr>
          <w:rFonts w:hint="eastAsia" w:ascii="仿宋_GB2312" w:hAnsi="仿宋_GB2312" w:eastAsia="仿宋_GB2312" w:cs="仿宋_GB2312"/>
          <w:b/>
          <w:sz w:val="32"/>
          <w:szCs w:val="32"/>
        </w:rPr>
      </w:pPr>
      <w:r>
        <w:rPr>
          <w:rFonts w:hint="eastAsia" w:ascii="仿宋_GB2312" w:eastAsia="仿宋_GB2312"/>
          <w:sz w:val="32"/>
          <w:szCs w:val="32"/>
        </w:rPr>
        <w:t>木垒哈萨克自治县雀仁乡中心学校2023年度，实有人数</w:t>
      </w:r>
      <w:r>
        <w:rPr>
          <w:rFonts w:hint="eastAsia" w:ascii="仿宋_GB2312" w:eastAsia="仿宋_GB2312"/>
          <w:sz w:val="32"/>
          <w:szCs w:val="32"/>
          <w:lang w:val="zh-CN"/>
        </w:rPr>
        <w:t>113</w:t>
      </w:r>
      <w:r>
        <w:rPr>
          <w:rFonts w:hint="eastAsia" w:ascii="仿宋_GB2312" w:eastAsia="仿宋_GB2312"/>
          <w:sz w:val="32"/>
          <w:szCs w:val="32"/>
        </w:rPr>
        <w:t>人，其中：在职人员</w:t>
      </w:r>
      <w:r>
        <w:rPr>
          <w:rFonts w:hint="eastAsia" w:ascii="仿宋_GB2312" w:eastAsia="仿宋_GB2312"/>
          <w:sz w:val="32"/>
          <w:szCs w:val="32"/>
          <w:lang w:val="zh-CN"/>
        </w:rPr>
        <w:t>80</w:t>
      </w:r>
      <w:r>
        <w:rPr>
          <w:rFonts w:hint="eastAsia" w:ascii="仿宋_GB2312" w:eastAsia="仿宋_GB2312"/>
          <w:sz w:val="32"/>
          <w:szCs w:val="32"/>
        </w:rPr>
        <w:t>人，离休人员</w:t>
      </w:r>
      <w:r>
        <w:rPr>
          <w:rFonts w:hint="eastAsia" w:ascii="仿宋_GB2312" w:eastAsia="仿宋_GB2312"/>
          <w:sz w:val="32"/>
          <w:szCs w:val="32"/>
          <w:lang w:val="zh-CN"/>
        </w:rPr>
        <w:t>0</w:t>
      </w:r>
      <w:r>
        <w:rPr>
          <w:rFonts w:hint="eastAsia" w:ascii="仿宋_GB2312" w:eastAsia="仿宋_GB2312"/>
          <w:sz w:val="32"/>
          <w:szCs w:val="32"/>
        </w:rPr>
        <w:t>人，退休人员</w:t>
      </w:r>
      <w:r>
        <w:rPr>
          <w:rFonts w:hint="eastAsia" w:ascii="仿宋_GB2312" w:eastAsia="仿宋_GB2312"/>
          <w:sz w:val="32"/>
          <w:szCs w:val="32"/>
          <w:lang w:val="zh-CN"/>
        </w:rPr>
        <w:t>33</w:t>
      </w:r>
      <w:r>
        <w:rPr>
          <w:rFonts w:hint="eastAsia" w:ascii="仿宋_GB2312" w:eastAsia="仿宋_GB2312"/>
          <w:sz w:val="32"/>
          <w:szCs w:val="32"/>
        </w:rPr>
        <w:t>人。</w:t>
      </w:r>
    </w:p>
    <w:p w14:paraId="2DC5B74C">
      <w:pPr>
        <w:ind w:firstLine="640" w:firstLineChars="200"/>
        <w:rPr>
          <w:rFonts w:hint="eastAsia" w:ascii="仿宋_GB2312" w:hAnsi="宋体" w:eastAsia="仿宋_GB2312" w:cs="宋体"/>
          <w:kern w:val="0"/>
          <w:sz w:val="32"/>
          <w:szCs w:val="32"/>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hAnsi="黑体" w:eastAsia="仿宋_GB2312" w:cs="宋体"/>
          <w:bCs/>
          <w:kern w:val="0"/>
          <w:sz w:val="32"/>
          <w:szCs w:val="32"/>
        </w:rPr>
        <w:t>单位无下属预算单位，下设</w:t>
      </w:r>
      <w:r>
        <w:rPr>
          <w:rFonts w:hint="eastAsia" w:ascii="仿宋_GB2312" w:eastAsia="仿宋_GB2312"/>
          <w:sz w:val="32"/>
          <w:szCs w:val="32"/>
        </w:rPr>
        <w:t>5</w:t>
      </w:r>
      <w:r>
        <w:rPr>
          <w:rFonts w:hint="eastAsia" w:ascii="仿宋_GB2312" w:hAnsi="黑体" w:eastAsia="仿宋_GB2312" w:cs="宋体"/>
          <w:bCs/>
          <w:kern w:val="0"/>
          <w:sz w:val="32"/>
          <w:szCs w:val="32"/>
        </w:rPr>
        <w:t>个处室，分别是：</w:t>
      </w:r>
      <w:r>
        <w:rPr>
          <w:rFonts w:hint="eastAsia" w:ascii="仿宋_GB2312" w:hAnsi="黑体" w:eastAsia="仿宋_GB2312" w:cs="宋体"/>
          <w:kern w:val="0"/>
          <w:sz w:val="32"/>
          <w:szCs w:val="32"/>
        </w:rPr>
        <w:t>校长室、总务室、教务室、德育室、财务室</w:t>
      </w:r>
      <w:r>
        <w:rPr>
          <w:rFonts w:hint="eastAsia" w:ascii="仿宋_GB2312" w:hAnsi="宋体" w:eastAsia="仿宋_GB2312" w:cs="宋体"/>
          <w:kern w:val="0"/>
          <w:sz w:val="32"/>
          <w:szCs w:val="32"/>
        </w:rPr>
        <w:t>。</w:t>
      </w:r>
    </w:p>
    <w:p w14:paraId="0B86E2B1">
      <w:pPr>
        <w:jc w:val="center"/>
        <w:outlineLvl w:val="0"/>
        <w:rPr>
          <w:rFonts w:hint="eastAsia" w:ascii="黑体" w:hAnsi="黑体" w:eastAsia="黑体"/>
          <w:sz w:val="32"/>
          <w:szCs w:val="32"/>
        </w:rPr>
      </w:pPr>
      <w:bookmarkStart w:id="6" w:name="_Toc29374"/>
      <w:bookmarkStart w:id="7" w:name="_Toc3092"/>
      <w:r>
        <w:rPr>
          <w:rFonts w:hint="eastAsia" w:ascii="黑体" w:hAnsi="黑体" w:eastAsia="黑体"/>
          <w:sz w:val="32"/>
          <w:szCs w:val="32"/>
        </w:rPr>
        <w:t>第二部分 部门决算情况说明</w:t>
      </w:r>
      <w:bookmarkEnd w:id="6"/>
      <w:bookmarkEnd w:id="7"/>
    </w:p>
    <w:p w14:paraId="50B3502E">
      <w:pPr>
        <w:ind w:firstLine="640" w:firstLineChars="200"/>
        <w:outlineLvl w:val="1"/>
        <w:rPr>
          <w:rFonts w:hint="eastAsia" w:ascii="黑体" w:hAnsi="黑体" w:eastAsia="黑体" w:cs="宋体"/>
          <w:bCs/>
          <w:kern w:val="0"/>
          <w:sz w:val="32"/>
          <w:szCs w:val="32"/>
        </w:rPr>
      </w:pPr>
      <w:bookmarkStart w:id="8" w:name="_Toc25314"/>
      <w:bookmarkStart w:id="9" w:name="_Toc12566"/>
      <w:r>
        <w:rPr>
          <w:rFonts w:hint="eastAsia" w:ascii="黑体" w:hAnsi="黑体" w:eastAsia="黑体" w:cs="宋体"/>
          <w:bCs/>
          <w:kern w:val="0"/>
          <w:sz w:val="32"/>
          <w:szCs w:val="32"/>
        </w:rPr>
        <w:t>一、收入支出决算总体情况说明</w:t>
      </w:r>
      <w:bookmarkEnd w:id="8"/>
      <w:bookmarkEnd w:id="9"/>
    </w:p>
    <w:p w14:paraId="0A17DCAD">
      <w:pPr>
        <w:ind w:firstLine="640" w:firstLineChars="200"/>
        <w:jc w:val="left"/>
        <w:rPr>
          <w:rFonts w:ascii="仿宋_GB2312" w:eastAsia="仿宋_GB2312"/>
          <w:sz w:val="32"/>
          <w:szCs w:val="32"/>
        </w:rPr>
      </w:pPr>
      <w:r>
        <w:rPr>
          <w:rFonts w:hint="eastAsia" w:ascii="仿宋_GB2312" w:eastAsia="仿宋_GB2312"/>
          <w:sz w:val="32"/>
          <w:szCs w:val="32"/>
        </w:rPr>
        <w:t>2023年度收入总计1,813.83万元，其中：本年收入合计1,782.97万元，使用非财政拨款结余0.00万元，年初结转和结余30.86万元。</w:t>
      </w:r>
    </w:p>
    <w:p w14:paraId="5079A07A">
      <w:pPr>
        <w:ind w:firstLine="640" w:firstLineChars="200"/>
        <w:jc w:val="left"/>
        <w:rPr>
          <w:rFonts w:ascii="仿宋_GB2312" w:eastAsia="仿宋_GB2312"/>
          <w:sz w:val="32"/>
          <w:szCs w:val="32"/>
        </w:rPr>
      </w:pPr>
      <w:r>
        <w:rPr>
          <w:rFonts w:hint="eastAsia" w:ascii="仿宋_GB2312" w:eastAsia="仿宋_GB2312"/>
          <w:sz w:val="32"/>
          <w:szCs w:val="32"/>
        </w:rPr>
        <w:t>2023年度支出总计1,813.83万元，其中：本年支出合计1,810.56万元，结余分配0.00万元，年末结转和结余3.27万元。</w:t>
      </w:r>
    </w:p>
    <w:p w14:paraId="650E5B09">
      <w:pPr>
        <w:ind w:firstLine="640" w:firstLineChars="200"/>
        <w:jc w:val="left"/>
        <w:rPr>
          <w:rFonts w:ascii="仿宋_GB2312" w:eastAsia="仿宋_GB2312"/>
          <w:sz w:val="32"/>
          <w:szCs w:val="32"/>
        </w:rPr>
      </w:pPr>
      <w:r>
        <w:rPr>
          <w:rFonts w:hint="eastAsia" w:ascii="仿宋_GB2312" w:eastAsia="仿宋_GB2312"/>
          <w:sz w:val="32"/>
          <w:szCs w:val="32"/>
        </w:rPr>
        <w:t>收入支出总体与上年相比，</w:t>
      </w:r>
      <w:r>
        <w:rPr>
          <w:rFonts w:hint="eastAsia" w:ascii="仿宋_GB2312" w:eastAsia="仿宋_GB2312"/>
          <w:sz w:val="32"/>
          <w:szCs w:val="32"/>
          <w:lang w:val="zh-CN"/>
        </w:rPr>
        <w:t>增加170.05万元</w:t>
      </w:r>
      <w:r>
        <w:rPr>
          <w:rFonts w:hint="eastAsia" w:ascii="仿宋_GB2312" w:eastAsia="仿宋_GB2312"/>
          <w:sz w:val="32"/>
          <w:szCs w:val="32"/>
        </w:rPr>
        <w:t>，增长10.35%，主要原因是：</w:t>
      </w:r>
      <w:r>
        <w:rPr>
          <w:rFonts w:hint="eastAsia" w:ascii="仿宋_GB2312" w:eastAsia="仿宋_GB2312"/>
          <w:sz w:val="32"/>
          <w:szCs w:val="32"/>
          <w:lang w:val="en-US" w:eastAsia="zh-CN"/>
        </w:rPr>
        <w:t>单位</w:t>
      </w:r>
      <w:r>
        <w:rPr>
          <w:rFonts w:hint="eastAsia" w:ascii="仿宋_GB2312" w:eastAsia="仿宋_GB2312"/>
          <w:sz w:val="32"/>
          <w:szCs w:val="32"/>
        </w:rPr>
        <w:t>本年</w:t>
      </w:r>
      <w:r>
        <w:rPr>
          <w:rFonts w:hint="eastAsia" w:ascii="仿宋_GB2312" w:eastAsia="仿宋_GB2312"/>
          <w:sz w:val="32"/>
          <w:szCs w:val="32"/>
          <w:lang w:val="en-US" w:eastAsia="zh-CN"/>
        </w:rPr>
        <w:t>在职人员工资</w:t>
      </w:r>
      <w:r>
        <w:rPr>
          <w:rFonts w:hint="eastAsia" w:ascii="仿宋_GB2312" w:eastAsia="仿宋_GB2312"/>
          <w:sz w:val="32"/>
          <w:szCs w:val="32"/>
        </w:rPr>
        <w:t>调</w:t>
      </w:r>
      <w:r>
        <w:rPr>
          <w:rFonts w:hint="eastAsia" w:ascii="仿宋_GB2312" w:eastAsia="仿宋_GB2312"/>
          <w:sz w:val="32"/>
          <w:szCs w:val="32"/>
          <w:lang w:val="en-US" w:eastAsia="zh-CN"/>
        </w:rPr>
        <w:t>增，工资、津贴补贴、奖金等相关人员</w:t>
      </w:r>
      <w:r>
        <w:rPr>
          <w:rFonts w:hint="eastAsia" w:ascii="仿宋_GB2312" w:eastAsia="仿宋_GB2312"/>
          <w:sz w:val="32"/>
          <w:szCs w:val="32"/>
        </w:rPr>
        <w:t>经费增加。</w:t>
      </w:r>
    </w:p>
    <w:p w14:paraId="72C745A1">
      <w:pPr>
        <w:ind w:firstLine="640" w:firstLineChars="200"/>
        <w:jc w:val="left"/>
        <w:outlineLvl w:val="1"/>
        <w:rPr>
          <w:rFonts w:hint="eastAsia" w:ascii="黑体" w:hAnsi="黑体" w:eastAsia="黑体" w:cs="宋体"/>
          <w:bCs/>
          <w:kern w:val="0"/>
          <w:sz w:val="32"/>
          <w:szCs w:val="32"/>
        </w:rPr>
      </w:pPr>
      <w:bookmarkStart w:id="10" w:name="_Toc1979"/>
      <w:bookmarkStart w:id="11" w:name="_Toc12142"/>
      <w:r>
        <w:rPr>
          <w:rFonts w:hint="eastAsia" w:ascii="黑体" w:hAnsi="黑体" w:eastAsia="黑体" w:cs="宋体"/>
          <w:bCs/>
          <w:kern w:val="0"/>
          <w:sz w:val="32"/>
          <w:szCs w:val="32"/>
        </w:rPr>
        <w:t>二、收入决算情况说明</w:t>
      </w:r>
      <w:bookmarkEnd w:id="10"/>
      <w:bookmarkEnd w:id="11"/>
    </w:p>
    <w:p w14:paraId="61C717C3">
      <w:pPr>
        <w:ind w:firstLine="640" w:firstLineChars="200"/>
        <w:jc w:val="left"/>
        <w:rPr>
          <w:rFonts w:ascii="仿宋_GB2312" w:eastAsia="仿宋_GB2312"/>
          <w:sz w:val="32"/>
          <w:szCs w:val="32"/>
        </w:rPr>
      </w:pPr>
      <w:r>
        <w:rPr>
          <w:rFonts w:hint="eastAsia" w:ascii="仿宋_GB2312" w:eastAsia="仿宋_GB2312"/>
          <w:sz w:val="32"/>
          <w:szCs w:val="32"/>
        </w:rPr>
        <w:t>本年收入1,782.97万元，其中：财政拨款收入</w:t>
      </w:r>
      <w:r>
        <w:rPr>
          <w:rFonts w:hint="eastAsia" w:ascii="仿宋_GB2312" w:eastAsia="仿宋_GB2312"/>
          <w:sz w:val="32"/>
          <w:szCs w:val="32"/>
          <w:lang w:val="zh-CN"/>
        </w:rPr>
        <w:t>1,779.11</w:t>
      </w:r>
      <w:r>
        <w:rPr>
          <w:rFonts w:hint="eastAsia" w:ascii="仿宋_GB2312" w:eastAsia="仿宋_GB2312"/>
          <w:sz w:val="32"/>
          <w:szCs w:val="32"/>
        </w:rPr>
        <w:t>万元，占</w:t>
      </w:r>
      <w:r>
        <w:rPr>
          <w:rFonts w:hint="eastAsia" w:ascii="仿宋_GB2312" w:eastAsia="仿宋_GB2312"/>
          <w:sz w:val="32"/>
          <w:szCs w:val="32"/>
          <w:lang w:val="zh-CN"/>
        </w:rPr>
        <w:t>99.78</w:t>
      </w:r>
      <w:r>
        <w:rPr>
          <w:rFonts w:hint="eastAsia" w:ascii="仿宋_GB2312" w:eastAsia="仿宋_GB2312"/>
          <w:sz w:val="32"/>
          <w:szCs w:val="32"/>
        </w:rPr>
        <w:t>%；上级补助收入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%；事业收入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%；经营收入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%；附属单位上缴收入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%；其他收入</w:t>
      </w:r>
      <w:r>
        <w:rPr>
          <w:rFonts w:hint="eastAsia" w:ascii="仿宋_GB2312" w:eastAsia="仿宋_GB2312"/>
          <w:sz w:val="32"/>
          <w:szCs w:val="32"/>
          <w:lang w:val="zh-CN"/>
        </w:rPr>
        <w:t>3.86</w:t>
      </w:r>
      <w:r>
        <w:rPr>
          <w:rFonts w:hint="eastAsia" w:ascii="仿宋_GB2312" w:eastAsia="仿宋_GB2312"/>
          <w:sz w:val="32"/>
          <w:szCs w:val="32"/>
        </w:rPr>
        <w:t>万元，占</w:t>
      </w:r>
      <w:r>
        <w:rPr>
          <w:rFonts w:hint="eastAsia" w:ascii="仿宋_GB2312" w:eastAsia="仿宋_GB2312"/>
          <w:sz w:val="32"/>
          <w:szCs w:val="32"/>
          <w:lang w:val="zh-CN"/>
        </w:rPr>
        <w:t>0.22</w:t>
      </w:r>
      <w:r>
        <w:rPr>
          <w:rFonts w:hint="eastAsia" w:ascii="仿宋_GB2312" w:eastAsia="仿宋_GB2312"/>
          <w:sz w:val="32"/>
          <w:szCs w:val="32"/>
        </w:rPr>
        <w:t>%。</w:t>
      </w:r>
    </w:p>
    <w:p w14:paraId="2DE791CC">
      <w:pPr>
        <w:ind w:firstLine="640" w:firstLineChars="200"/>
        <w:jc w:val="left"/>
        <w:outlineLvl w:val="1"/>
        <w:rPr>
          <w:rFonts w:hint="eastAsia" w:ascii="黑体" w:hAnsi="黑体" w:eastAsia="黑体" w:cs="宋体"/>
          <w:bCs/>
          <w:kern w:val="0"/>
          <w:sz w:val="32"/>
          <w:szCs w:val="32"/>
        </w:rPr>
      </w:pPr>
      <w:bookmarkStart w:id="12" w:name="_Toc27961"/>
      <w:bookmarkStart w:id="13" w:name="_Toc13201"/>
      <w:r>
        <w:rPr>
          <w:rFonts w:hint="eastAsia" w:ascii="黑体" w:hAnsi="黑体" w:eastAsia="黑体" w:cs="宋体"/>
          <w:bCs/>
          <w:kern w:val="0"/>
          <w:sz w:val="32"/>
          <w:szCs w:val="32"/>
        </w:rPr>
        <w:t>三、支出决算情况说明</w:t>
      </w:r>
      <w:bookmarkEnd w:id="12"/>
      <w:bookmarkEnd w:id="13"/>
    </w:p>
    <w:p w14:paraId="27D0FF8D">
      <w:pPr>
        <w:ind w:firstLine="640" w:firstLineChars="200"/>
        <w:jc w:val="left"/>
        <w:rPr>
          <w:rFonts w:ascii="仿宋_GB2312" w:eastAsia="仿宋_GB2312"/>
          <w:sz w:val="32"/>
          <w:szCs w:val="32"/>
        </w:rPr>
      </w:pPr>
      <w:r>
        <w:rPr>
          <w:rFonts w:hint="eastAsia" w:ascii="仿宋_GB2312" w:eastAsia="仿宋_GB2312"/>
          <w:sz w:val="32"/>
          <w:szCs w:val="32"/>
        </w:rPr>
        <w:t>本年支出1,810.56万元，其中：基本支出1,617.48万元，占89.34%；项目支出193.08万元，占10.66%；上缴上级支出0.00万元，占0.00%；经营支出0.00万元，占0.00%；对附属单位补助支出0.00万元，占0.00%。</w:t>
      </w:r>
    </w:p>
    <w:p w14:paraId="17E87FCB">
      <w:pPr>
        <w:ind w:firstLine="640" w:firstLineChars="200"/>
        <w:jc w:val="left"/>
        <w:outlineLvl w:val="1"/>
        <w:rPr>
          <w:rFonts w:hint="eastAsia" w:ascii="黑体" w:hAnsi="黑体" w:eastAsia="黑体" w:cs="宋体"/>
          <w:bCs/>
          <w:kern w:val="0"/>
          <w:sz w:val="32"/>
          <w:szCs w:val="32"/>
        </w:rPr>
      </w:pPr>
      <w:bookmarkStart w:id="14" w:name="_Toc26564"/>
      <w:bookmarkStart w:id="15" w:name="_Toc4393"/>
      <w:r>
        <w:rPr>
          <w:rFonts w:hint="eastAsia" w:ascii="黑体" w:hAnsi="黑体" w:eastAsia="黑体" w:cs="宋体"/>
          <w:bCs/>
          <w:kern w:val="0"/>
          <w:sz w:val="32"/>
          <w:szCs w:val="32"/>
        </w:rPr>
        <w:t>四、财政拨款收入支出决算总体情况说明</w:t>
      </w:r>
      <w:bookmarkEnd w:id="14"/>
      <w:bookmarkEnd w:id="15"/>
    </w:p>
    <w:p w14:paraId="4D7B51BB">
      <w:pPr>
        <w:ind w:firstLine="640" w:firstLineChars="200"/>
        <w:jc w:val="left"/>
        <w:rPr>
          <w:rFonts w:ascii="仿宋_GB2312" w:eastAsia="仿宋_GB2312"/>
          <w:sz w:val="32"/>
          <w:szCs w:val="32"/>
        </w:rPr>
      </w:pPr>
      <w:r>
        <w:rPr>
          <w:rFonts w:hint="eastAsia" w:ascii="仿宋_GB2312" w:eastAsia="仿宋_GB2312"/>
          <w:sz w:val="32"/>
          <w:szCs w:val="32"/>
        </w:rPr>
        <w:t>2023年度财政拨款收入总计</w:t>
      </w:r>
      <w:r>
        <w:rPr>
          <w:rFonts w:hint="eastAsia" w:ascii="仿宋_GB2312" w:eastAsia="仿宋_GB2312"/>
          <w:sz w:val="32"/>
          <w:szCs w:val="32"/>
          <w:lang w:val="zh-CN"/>
        </w:rPr>
        <w:t>1,781.35</w:t>
      </w:r>
      <w:r>
        <w:rPr>
          <w:rFonts w:hint="eastAsia" w:ascii="仿宋_GB2312" w:eastAsia="仿宋_GB2312"/>
          <w:sz w:val="32"/>
          <w:szCs w:val="32"/>
        </w:rPr>
        <w:t>万元，其中：年初财政拨款结转和结余</w:t>
      </w:r>
      <w:r>
        <w:rPr>
          <w:rFonts w:hint="eastAsia" w:ascii="仿宋_GB2312" w:eastAsia="仿宋_GB2312"/>
          <w:sz w:val="32"/>
          <w:szCs w:val="32"/>
          <w:lang w:val="zh-CN"/>
        </w:rPr>
        <w:t>2.25</w:t>
      </w:r>
      <w:r>
        <w:rPr>
          <w:rFonts w:hint="eastAsia" w:ascii="仿宋_GB2312" w:eastAsia="仿宋_GB2312"/>
          <w:sz w:val="32"/>
          <w:szCs w:val="32"/>
        </w:rPr>
        <w:t>万元，本年财政拨款收入</w:t>
      </w:r>
      <w:r>
        <w:rPr>
          <w:rFonts w:hint="eastAsia" w:ascii="仿宋_GB2312" w:eastAsia="仿宋_GB2312"/>
          <w:sz w:val="32"/>
          <w:szCs w:val="32"/>
          <w:lang w:val="zh-CN"/>
        </w:rPr>
        <w:t>1,779.11</w:t>
      </w:r>
      <w:r>
        <w:rPr>
          <w:rFonts w:hint="eastAsia" w:ascii="仿宋_GB2312" w:eastAsia="仿宋_GB2312"/>
          <w:sz w:val="32"/>
          <w:szCs w:val="32"/>
        </w:rPr>
        <w:t>万元。财政拨款支出总计</w:t>
      </w:r>
      <w:r>
        <w:rPr>
          <w:rFonts w:hint="eastAsia" w:ascii="仿宋_GB2312" w:eastAsia="仿宋_GB2312"/>
          <w:sz w:val="32"/>
          <w:szCs w:val="32"/>
          <w:lang w:val="zh-CN"/>
        </w:rPr>
        <w:t>1,781.35</w:t>
      </w:r>
      <w:r>
        <w:rPr>
          <w:rFonts w:hint="eastAsia" w:ascii="仿宋_GB2312" w:eastAsia="仿宋_GB2312"/>
          <w:sz w:val="32"/>
          <w:szCs w:val="32"/>
        </w:rPr>
        <w:t>万元，其中：年末财政拨款结转和结余</w:t>
      </w:r>
      <w:r>
        <w:rPr>
          <w:rFonts w:hint="eastAsia" w:ascii="仿宋_GB2312" w:eastAsia="仿宋_GB2312"/>
          <w:sz w:val="32"/>
          <w:szCs w:val="32"/>
          <w:lang w:val="zh-CN"/>
        </w:rPr>
        <w:t>2.25</w:t>
      </w:r>
      <w:r>
        <w:rPr>
          <w:rFonts w:hint="eastAsia" w:ascii="仿宋_GB2312" w:eastAsia="仿宋_GB2312"/>
          <w:sz w:val="32"/>
          <w:szCs w:val="32"/>
        </w:rPr>
        <w:t>万元，本年财政拨款支出</w:t>
      </w:r>
      <w:r>
        <w:rPr>
          <w:rFonts w:hint="eastAsia" w:ascii="仿宋_GB2312" w:eastAsia="仿宋_GB2312"/>
          <w:sz w:val="32"/>
          <w:szCs w:val="32"/>
          <w:lang w:val="zh-CN"/>
        </w:rPr>
        <w:t>1,779.11</w:t>
      </w:r>
      <w:r>
        <w:rPr>
          <w:rFonts w:hint="eastAsia" w:ascii="仿宋_GB2312" w:eastAsia="仿宋_GB2312"/>
          <w:sz w:val="32"/>
          <w:szCs w:val="32"/>
        </w:rPr>
        <w:t>万元。</w:t>
      </w:r>
    </w:p>
    <w:p w14:paraId="0EFB5B9D">
      <w:pPr>
        <w:ind w:firstLine="640" w:firstLineChars="200"/>
        <w:jc w:val="left"/>
        <w:rPr>
          <w:rFonts w:ascii="仿宋_GB2312" w:eastAsia="仿宋_GB2312"/>
          <w:sz w:val="32"/>
          <w:szCs w:val="32"/>
        </w:rPr>
      </w:pPr>
      <w:r>
        <w:rPr>
          <w:rFonts w:hint="eastAsia" w:ascii="仿宋_GB2312" w:eastAsia="仿宋_GB2312"/>
          <w:sz w:val="32"/>
          <w:szCs w:val="32"/>
        </w:rPr>
        <w:t>财政拨款收入支出总体与上年相比,</w:t>
      </w:r>
      <w:r>
        <w:rPr>
          <w:rFonts w:hint="eastAsia" w:ascii="仿宋_GB2312" w:eastAsia="仿宋_GB2312"/>
          <w:sz w:val="32"/>
          <w:szCs w:val="32"/>
          <w:lang w:val="zh-CN"/>
        </w:rPr>
        <w:t>增加166.18万元</w:t>
      </w:r>
      <w:r>
        <w:rPr>
          <w:rFonts w:hint="eastAsia" w:ascii="仿宋_GB2312" w:eastAsia="仿宋_GB2312"/>
          <w:sz w:val="32"/>
          <w:szCs w:val="32"/>
        </w:rPr>
        <w:t>，增长10.29%,主要原因是：</w:t>
      </w:r>
      <w:r>
        <w:rPr>
          <w:rFonts w:hint="eastAsia" w:ascii="仿宋_GB2312" w:eastAsia="仿宋_GB2312"/>
          <w:sz w:val="32"/>
          <w:szCs w:val="32"/>
          <w:lang w:val="en-US" w:eastAsia="zh-CN"/>
        </w:rPr>
        <w:t>单位</w:t>
      </w:r>
      <w:r>
        <w:rPr>
          <w:rFonts w:hint="eastAsia" w:ascii="仿宋_GB2312" w:eastAsia="仿宋_GB2312"/>
          <w:sz w:val="32"/>
          <w:szCs w:val="32"/>
        </w:rPr>
        <w:t>本年</w:t>
      </w:r>
      <w:r>
        <w:rPr>
          <w:rFonts w:hint="eastAsia" w:ascii="仿宋_GB2312" w:eastAsia="仿宋_GB2312"/>
          <w:sz w:val="32"/>
          <w:szCs w:val="32"/>
          <w:lang w:val="en-US" w:eastAsia="zh-CN"/>
        </w:rPr>
        <w:t>在职人员工资</w:t>
      </w:r>
      <w:r>
        <w:rPr>
          <w:rFonts w:hint="eastAsia" w:ascii="仿宋_GB2312" w:eastAsia="仿宋_GB2312"/>
          <w:sz w:val="32"/>
          <w:szCs w:val="32"/>
        </w:rPr>
        <w:t>调</w:t>
      </w:r>
      <w:r>
        <w:rPr>
          <w:rFonts w:hint="eastAsia" w:ascii="仿宋_GB2312" w:eastAsia="仿宋_GB2312"/>
          <w:sz w:val="32"/>
          <w:szCs w:val="32"/>
          <w:lang w:val="en-US" w:eastAsia="zh-CN"/>
        </w:rPr>
        <w:t>增，工资、津贴补贴、奖金等相关人员</w:t>
      </w:r>
      <w:r>
        <w:rPr>
          <w:rFonts w:hint="eastAsia" w:ascii="仿宋_GB2312" w:eastAsia="仿宋_GB2312"/>
          <w:sz w:val="32"/>
          <w:szCs w:val="32"/>
        </w:rPr>
        <w:t>经费增加。与年初预算相比，年初预算数</w:t>
      </w:r>
      <w:r>
        <w:rPr>
          <w:rFonts w:hint="eastAsia" w:ascii="仿宋_GB2312" w:eastAsia="仿宋_GB2312"/>
          <w:sz w:val="32"/>
          <w:szCs w:val="32"/>
          <w:lang w:val="zh-CN"/>
        </w:rPr>
        <w:t>1,628.43</w:t>
      </w:r>
      <w:r>
        <w:rPr>
          <w:rFonts w:hint="eastAsia" w:ascii="仿宋_GB2312" w:eastAsia="仿宋_GB2312"/>
          <w:sz w:val="32"/>
          <w:szCs w:val="32"/>
        </w:rPr>
        <w:t>万元，决算数</w:t>
      </w:r>
      <w:r>
        <w:rPr>
          <w:rFonts w:hint="eastAsia" w:ascii="仿宋_GB2312" w:eastAsia="仿宋_GB2312"/>
          <w:sz w:val="32"/>
          <w:szCs w:val="32"/>
          <w:lang w:val="zh-CN"/>
        </w:rPr>
        <w:t>1,781.35</w:t>
      </w:r>
      <w:r>
        <w:rPr>
          <w:rFonts w:hint="eastAsia" w:ascii="仿宋_GB2312" w:eastAsia="仿宋_GB2312"/>
          <w:sz w:val="32"/>
          <w:szCs w:val="32"/>
        </w:rPr>
        <w:t>万元，预决算差异率9.39%，主要原因是：</w:t>
      </w:r>
      <w:r>
        <w:rPr>
          <w:rFonts w:hint="eastAsia" w:ascii="仿宋_GB2312" w:eastAsia="仿宋_GB2312"/>
          <w:sz w:val="32"/>
          <w:szCs w:val="32"/>
          <w:lang w:val="en-US" w:eastAsia="zh-CN"/>
        </w:rPr>
        <w:t>单位</w:t>
      </w:r>
      <w:r>
        <w:rPr>
          <w:rFonts w:hint="eastAsia" w:ascii="仿宋_GB2312" w:eastAsia="仿宋_GB2312"/>
          <w:sz w:val="32"/>
          <w:szCs w:val="32"/>
        </w:rPr>
        <w:t>本年</w:t>
      </w:r>
      <w:r>
        <w:rPr>
          <w:rFonts w:hint="eastAsia" w:ascii="仿宋_GB2312" w:eastAsia="仿宋_GB2312"/>
          <w:sz w:val="32"/>
          <w:szCs w:val="32"/>
          <w:lang w:val="en-US" w:eastAsia="zh-CN"/>
        </w:rPr>
        <w:t>在职人员工资</w:t>
      </w:r>
      <w:r>
        <w:rPr>
          <w:rFonts w:hint="eastAsia" w:ascii="仿宋_GB2312" w:eastAsia="仿宋_GB2312"/>
          <w:sz w:val="32"/>
          <w:szCs w:val="32"/>
        </w:rPr>
        <w:t>调</w:t>
      </w:r>
      <w:r>
        <w:rPr>
          <w:rFonts w:hint="eastAsia" w:ascii="仿宋_GB2312" w:eastAsia="仿宋_GB2312"/>
          <w:sz w:val="32"/>
          <w:szCs w:val="32"/>
          <w:lang w:val="en-US" w:eastAsia="zh-CN"/>
        </w:rPr>
        <w:t>增，年中追加工资、津贴补贴、奖金等相关人员</w:t>
      </w:r>
      <w:r>
        <w:rPr>
          <w:rFonts w:hint="eastAsia" w:ascii="仿宋_GB2312" w:eastAsia="仿宋_GB2312"/>
          <w:sz w:val="32"/>
          <w:szCs w:val="32"/>
        </w:rPr>
        <w:t>经费。</w:t>
      </w:r>
    </w:p>
    <w:p w14:paraId="5BF63FFE">
      <w:pPr>
        <w:ind w:firstLine="640" w:firstLineChars="200"/>
        <w:jc w:val="left"/>
        <w:outlineLvl w:val="1"/>
        <w:rPr>
          <w:rFonts w:hint="eastAsia" w:ascii="黑体" w:hAnsi="黑体" w:eastAsia="黑体" w:cs="宋体"/>
          <w:bCs/>
          <w:kern w:val="0"/>
          <w:sz w:val="32"/>
          <w:szCs w:val="32"/>
        </w:rPr>
      </w:pPr>
      <w:bookmarkStart w:id="16" w:name="_Toc20360"/>
      <w:bookmarkStart w:id="17" w:name="_Toc13833"/>
      <w:r>
        <w:rPr>
          <w:rFonts w:hint="eastAsia" w:ascii="黑体" w:hAnsi="黑体" w:eastAsia="黑体" w:cs="宋体"/>
          <w:bCs/>
          <w:kern w:val="0"/>
          <w:sz w:val="32"/>
          <w:szCs w:val="32"/>
        </w:rPr>
        <w:t>五、一般公共预算财政拨款支出决算情况说明</w:t>
      </w:r>
      <w:bookmarkEnd w:id="16"/>
      <w:bookmarkEnd w:id="17"/>
    </w:p>
    <w:p w14:paraId="1101E8B0">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（一）一般公共预算财政拨款支出决算总体情况</w:t>
      </w:r>
    </w:p>
    <w:p w14:paraId="1148739E">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2023年度一般公共预算财政拨款支出1,779.11万元，占本年支出合计的</w:t>
      </w:r>
      <w:r>
        <w:rPr>
          <w:rFonts w:hint="eastAsia" w:ascii="仿宋_GB2312" w:eastAsia="仿宋_GB2312"/>
          <w:sz w:val="32"/>
          <w:szCs w:val="32"/>
          <w:lang w:val="zh-CN"/>
        </w:rPr>
        <w:t>98.26%</w:t>
      </w:r>
      <w:r>
        <w:rPr>
          <w:rFonts w:hint="eastAsia" w:ascii="仿宋_GB2312" w:eastAsia="仿宋_GB2312"/>
          <w:sz w:val="32"/>
          <w:szCs w:val="32"/>
        </w:rPr>
        <w:t>。与上年相比，</w:t>
      </w:r>
      <w:r>
        <w:rPr>
          <w:rFonts w:hint="eastAsia" w:ascii="仿宋_GB2312" w:eastAsia="仿宋_GB2312"/>
          <w:sz w:val="32"/>
          <w:szCs w:val="32"/>
          <w:lang w:val="zh-CN"/>
        </w:rPr>
        <w:t>增加166.19万元</w:t>
      </w:r>
      <w:r>
        <w:rPr>
          <w:rFonts w:hint="eastAsia" w:ascii="仿宋_GB2312" w:eastAsia="仿宋_GB2312"/>
          <w:sz w:val="32"/>
          <w:szCs w:val="32"/>
        </w:rPr>
        <w:t>，增长10.30%,主要原因是：</w:t>
      </w:r>
      <w:r>
        <w:rPr>
          <w:rFonts w:hint="eastAsia" w:ascii="仿宋_GB2312" w:eastAsia="仿宋_GB2312"/>
          <w:sz w:val="32"/>
          <w:szCs w:val="32"/>
          <w:lang w:val="en-US" w:eastAsia="zh-CN"/>
        </w:rPr>
        <w:t>单位</w:t>
      </w:r>
      <w:r>
        <w:rPr>
          <w:rFonts w:hint="eastAsia" w:ascii="仿宋_GB2312" w:eastAsia="仿宋_GB2312"/>
          <w:sz w:val="32"/>
          <w:szCs w:val="32"/>
        </w:rPr>
        <w:t>本年</w:t>
      </w:r>
      <w:r>
        <w:rPr>
          <w:rFonts w:hint="eastAsia" w:ascii="仿宋_GB2312" w:eastAsia="仿宋_GB2312"/>
          <w:sz w:val="32"/>
          <w:szCs w:val="32"/>
          <w:lang w:val="en-US" w:eastAsia="zh-CN"/>
        </w:rPr>
        <w:t>在职人员工资</w:t>
      </w:r>
      <w:r>
        <w:rPr>
          <w:rFonts w:hint="eastAsia" w:ascii="仿宋_GB2312" w:eastAsia="仿宋_GB2312"/>
          <w:sz w:val="32"/>
          <w:szCs w:val="32"/>
        </w:rPr>
        <w:t>调</w:t>
      </w:r>
      <w:r>
        <w:rPr>
          <w:rFonts w:hint="eastAsia" w:ascii="仿宋_GB2312" w:eastAsia="仿宋_GB2312"/>
          <w:sz w:val="32"/>
          <w:szCs w:val="32"/>
          <w:lang w:val="en-US" w:eastAsia="zh-CN"/>
        </w:rPr>
        <w:t>增，工资、津贴补贴、奖金等相关人员</w:t>
      </w:r>
      <w:r>
        <w:rPr>
          <w:rFonts w:hint="eastAsia" w:ascii="仿宋_GB2312" w:eastAsia="仿宋_GB2312"/>
          <w:sz w:val="32"/>
          <w:szCs w:val="32"/>
        </w:rPr>
        <w:t>经费增加。与年初预算相比，年初预算数</w:t>
      </w:r>
      <w:r>
        <w:rPr>
          <w:rFonts w:hint="eastAsia" w:ascii="仿宋_GB2312" w:eastAsia="仿宋_GB2312"/>
          <w:sz w:val="32"/>
          <w:szCs w:val="32"/>
          <w:lang w:val="zh-CN"/>
        </w:rPr>
        <w:t>1,628.43</w:t>
      </w:r>
      <w:r>
        <w:rPr>
          <w:rFonts w:hint="eastAsia" w:ascii="仿宋_GB2312" w:eastAsia="仿宋_GB2312"/>
          <w:sz w:val="32"/>
          <w:szCs w:val="32"/>
        </w:rPr>
        <w:t>万元，决算数</w:t>
      </w:r>
      <w:r>
        <w:rPr>
          <w:rFonts w:hint="eastAsia" w:ascii="仿宋_GB2312" w:eastAsia="仿宋_GB2312"/>
          <w:sz w:val="32"/>
          <w:szCs w:val="32"/>
          <w:lang w:val="zh-CN"/>
        </w:rPr>
        <w:t>1,779.11</w:t>
      </w:r>
      <w:r>
        <w:rPr>
          <w:rFonts w:hint="eastAsia" w:ascii="仿宋_GB2312" w:eastAsia="仿宋_GB2312"/>
          <w:sz w:val="32"/>
          <w:szCs w:val="32"/>
        </w:rPr>
        <w:t>万元，预决算差异率</w:t>
      </w:r>
      <w:r>
        <w:rPr>
          <w:rFonts w:hint="eastAsia" w:ascii="仿宋_GB2312" w:eastAsia="仿宋_GB2312"/>
          <w:sz w:val="32"/>
          <w:szCs w:val="32"/>
          <w:lang w:val="zh-CN"/>
        </w:rPr>
        <w:t>9.25%</w:t>
      </w:r>
      <w:r>
        <w:rPr>
          <w:rFonts w:hint="eastAsia" w:ascii="仿宋_GB2312" w:eastAsia="仿宋_GB2312"/>
          <w:sz w:val="32"/>
          <w:szCs w:val="32"/>
        </w:rPr>
        <w:t>，主要原因是：</w:t>
      </w:r>
      <w:r>
        <w:rPr>
          <w:rFonts w:hint="eastAsia" w:ascii="仿宋_GB2312" w:eastAsia="仿宋_GB2312"/>
          <w:sz w:val="32"/>
          <w:szCs w:val="32"/>
          <w:lang w:val="en-US" w:eastAsia="zh-CN"/>
        </w:rPr>
        <w:t>单位</w:t>
      </w:r>
      <w:r>
        <w:rPr>
          <w:rFonts w:hint="eastAsia" w:ascii="仿宋_GB2312" w:eastAsia="仿宋_GB2312"/>
          <w:sz w:val="32"/>
          <w:szCs w:val="32"/>
        </w:rPr>
        <w:t>本年</w:t>
      </w:r>
      <w:r>
        <w:rPr>
          <w:rFonts w:hint="eastAsia" w:ascii="仿宋_GB2312" w:eastAsia="仿宋_GB2312"/>
          <w:sz w:val="32"/>
          <w:szCs w:val="32"/>
          <w:lang w:val="en-US" w:eastAsia="zh-CN"/>
        </w:rPr>
        <w:t>在职人员工资</w:t>
      </w:r>
      <w:r>
        <w:rPr>
          <w:rFonts w:hint="eastAsia" w:ascii="仿宋_GB2312" w:eastAsia="仿宋_GB2312"/>
          <w:sz w:val="32"/>
          <w:szCs w:val="32"/>
        </w:rPr>
        <w:t>调</w:t>
      </w:r>
      <w:r>
        <w:rPr>
          <w:rFonts w:hint="eastAsia" w:ascii="仿宋_GB2312" w:eastAsia="仿宋_GB2312"/>
          <w:sz w:val="32"/>
          <w:szCs w:val="32"/>
          <w:lang w:val="en-US" w:eastAsia="zh-CN"/>
        </w:rPr>
        <w:t>增，年中追加工资、津贴补贴、奖金等相关人员</w:t>
      </w:r>
      <w:r>
        <w:rPr>
          <w:rFonts w:hint="eastAsia" w:ascii="仿宋_GB2312" w:eastAsia="仿宋_GB2312"/>
          <w:sz w:val="32"/>
          <w:szCs w:val="32"/>
        </w:rPr>
        <w:t>经费。</w:t>
      </w:r>
    </w:p>
    <w:p w14:paraId="23883969">
      <w:pPr>
        <w:numPr>
          <w:ilvl w:val="0"/>
          <w:numId w:val="1"/>
        </w:num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一般公共预算财政拨款支出决算结构情况</w:t>
      </w:r>
    </w:p>
    <w:p w14:paraId="676A877C">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1</w:t>
      </w:r>
      <w:r>
        <w:rPr>
          <w:rFonts w:ascii="仿宋_GB2312" w:eastAsia="仿宋_GB2312"/>
          <w:kern w:val="2"/>
          <w:sz w:val="32"/>
          <w:szCs w:val="32"/>
          <w:lang w:val="zh-CN"/>
        </w:rPr>
        <w:t>.教育支出（类）</w:t>
      </w:r>
      <w:r>
        <w:rPr>
          <w:rFonts w:hint="eastAsia" w:ascii="仿宋_GB2312" w:eastAsia="仿宋_GB2312"/>
          <w:kern w:val="2"/>
          <w:sz w:val="32"/>
          <w:szCs w:val="32"/>
          <w:lang w:val="zh-CN"/>
        </w:rPr>
        <w:t>1,678.60</w:t>
      </w:r>
      <w:r>
        <w:rPr>
          <w:rFonts w:ascii="仿宋_GB2312" w:eastAsia="仿宋_GB2312"/>
          <w:kern w:val="2"/>
          <w:sz w:val="32"/>
          <w:szCs w:val="32"/>
          <w:lang w:val="zh-CN"/>
        </w:rPr>
        <w:t>万元，占</w:t>
      </w:r>
      <w:r>
        <w:rPr>
          <w:rFonts w:hint="eastAsia" w:ascii="仿宋_GB2312" w:eastAsia="仿宋_GB2312"/>
          <w:kern w:val="2"/>
          <w:sz w:val="32"/>
          <w:szCs w:val="32"/>
          <w:lang w:val="zh-CN"/>
        </w:rPr>
        <w:t>94.35</w:t>
      </w:r>
      <w:r>
        <w:rPr>
          <w:rFonts w:ascii="仿宋_GB2312" w:eastAsia="仿宋_GB2312"/>
          <w:kern w:val="2"/>
          <w:sz w:val="32"/>
          <w:szCs w:val="32"/>
          <w:lang w:val="zh-CN"/>
        </w:rPr>
        <w:t>%；</w:t>
      </w:r>
    </w:p>
    <w:p w14:paraId="6A1AE524">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2</w:t>
      </w:r>
      <w:r>
        <w:rPr>
          <w:rFonts w:ascii="仿宋_GB2312" w:eastAsia="仿宋_GB2312"/>
          <w:kern w:val="2"/>
          <w:sz w:val="32"/>
          <w:szCs w:val="32"/>
          <w:lang w:val="zh-CN"/>
        </w:rPr>
        <w:t>.社会保障和就业支出（类）</w:t>
      </w:r>
      <w:r>
        <w:rPr>
          <w:rFonts w:hint="eastAsia" w:ascii="仿宋_GB2312" w:eastAsia="仿宋_GB2312"/>
          <w:kern w:val="2"/>
          <w:sz w:val="32"/>
          <w:szCs w:val="32"/>
          <w:lang w:val="zh-CN"/>
        </w:rPr>
        <w:t>100.51</w:t>
      </w:r>
      <w:r>
        <w:rPr>
          <w:rFonts w:ascii="仿宋_GB2312" w:eastAsia="仿宋_GB2312"/>
          <w:kern w:val="2"/>
          <w:sz w:val="32"/>
          <w:szCs w:val="32"/>
          <w:lang w:val="zh-CN"/>
        </w:rPr>
        <w:t>万元，占</w:t>
      </w:r>
      <w:r>
        <w:rPr>
          <w:rFonts w:hint="eastAsia" w:ascii="仿宋_GB2312" w:eastAsia="仿宋_GB2312"/>
          <w:kern w:val="2"/>
          <w:sz w:val="32"/>
          <w:szCs w:val="32"/>
          <w:lang w:val="zh-CN"/>
        </w:rPr>
        <w:t>5.65</w:t>
      </w:r>
      <w:r>
        <w:rPr>
          <w:rFonts w:ascii="仿宋_GB2312" w:eastAsia="仿宋_GB2312"/>
          <w:kern w:val="2"/>
          <w:sz w:val="32"/>
          <w:szCs w:val="32"/>
          <w:lang w:val="zh-CN"/>
        </w:rPr>
        <w:t>%</w:t>
      </w:r>
      <w:r>
        <w:rPr>
          <w:rFonts w:hint="eastAsia" w:ascii="仿宋_GB2312" w:eastAsia="仿宋_GB2312"/>
          <w:kern w:val="2"/>
          <w:sz w:val="32"/>
          <w:szCs w:val="32"/>
          <w:lang w:val="zh-CN"/>
        </w:rPr>
        <w:t>。</w:t>
      </w:r>
    </w:p>
    <w:p w14:paraId="311FF9D7">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（三）一般公共预算财政拨款支出决算具体情况</w:t>
      </w:r>
    </w:p>
    <w:p w14:paraId="32C08479">
      <w:pPr>
        <w:ind w:firstLine="640" w:firstLineChars="200"/>
        <w:jc w:val="left"/>
        <w:rPr>
          <w:rFonts w:ascii="仿宋_GB2312" w:eastAsia="仿宋_GB2312"/>
          <w:sz w:val="32"/>
          <w:szCs w:val="32"/>
        </w:rPr>
      </w:pPr>
      <w:r>
        <w:rPr>
          <w:rFonts w:hint="eastAsia" w:ascii="仿宋_GB2312" w:eastAsia="仿宋_GB2312"/>
          <w:sz w:val="32"/>
          <w:szCs w:val="32"/>
        </w:rPr>
        <w:t>1.教育支出（类）教育费附加安排的支出（款）其他教育费附加安排的支出（项）:支出决算数为6.00万元，比上年决算增加6.00万元，增长100%，主要原因是：</w:t>
      </w:r>
      <w:r>
        <w:rPr>
          <w:rFonts w:hint="eastAsia" w:ascii="仿宋_GB2312" w:eastAsia="仿宋_GB2312"/>
          <w:sz w:val="32"/>
          <w:szCs w:val="32"/>
          <w:lang w:val="en-US" w:eastAsia="zh-CN"/>
        </w:rPr>
        <w:t>单位</w:t>
      </w:r>
      <w:r>
        <w:rPr>
          <w:rFonts w:hint="eastAsia" w:ascii="仿宋_GB2312" w:eastAsia="仿宋_GB2312"/>
          <w:sz w:val="32"/>
          <w:szCs w:val="32"/>
        </w:rPr>
        <w:t>本年增加课后服务</w:t>
      </w:r>
      <w:r>
        <w:rPr>
          <w:rFonts w:hint="eastAsia" w:ascii="仿宋_GB2312" w:eastAsia="仿宋_GB2312"/>
          <w:sz w:val="32"/>
          <w:szCs w:val="32"/>
          <w:lang w:val="en-US" w:eastAsia="zh-CN"/>
        </w:rPr>
        <w:t>项目</w:t>
      </w:r>
      <w:r>
        <w:rPr>
          <w:rFonts w:hint="eastAsia" w:ascii="仿宋_GB2312" w:eastAsia="仿宋_GB2312"/>
          <w:sz w:val="32"/>
          <w:szCs w:val="32"/>
        </w:rPr>
        <w:t>经费。</w:t>
      </w:r>
    </w:p>
    <w:p w14:paraId="1EA6E7DB">
      <w:pPr>
        <w:ind w:firstLine="640" w:firstLineChars="200"/>
        <w:jc w:val="left"/>
        <w:rPr>
          <w:rFonts w:ascii="仿宋_GB2312" w:eastAsia="仿宋_GB2312"/>
          <w:sz w:val="32"/>
          <w:szCs w:val="32"/>
        </w:rPr>
      </w:pPr>
      <w:r>
        <w:rPr>
          <w:rFonts w:hint="eastAsia" w:ascii="仿宋_GB2312" w:eastAsia="仿宋_GB2312"/>
          <w:sz w:val="32"/>
          <w:szCs w:val="32"/>
        </w:rPr>
        <w:t>2.社会保障和就业支出（类）抚恤（款）死亡抚恤（项）:支出决算数为40.51万元，比上年决算增加39.93万元，增长6,884.48%，主要原因是：单位本年人员丧葬费、抚恤金补助较上年增加。</w:t>
      </w:r>
    </w:p>
    <w:p w14:paraId="0419847E">
      <w:pPr>
        <w:ind w:firstLine="640" w:firstLineChars="200"/>
        <w:jc w:val="left"/>
        <w:rPr>
          <w:rFonts w:ascii="仿宋_GB2312" w:eastAsia="仿宋_GB2312"/>
          <w:sz w:val="32"/>
          <w:szCs w:val="32"/>
        </w:rPr>
      </w:pPr>
      <w:r>
        <w:rPr>
          <w:rFonts w:hint="eastAsia" w:ascii="仿宋_GB2312" w:eastAsia="仿宋_GB2312"/>
          <w:sz w:val="32"/>
          <w:szCs w:val="32"/>
        </w:rPr>
        <w:t>3.教育支出（类）普通教育（款）小学教育（项）:支出决算数为1,257.10万元，比上年决算减少42.04万元，下降3.24%，主要原因是：</w:t>
      </w:r>
      <w:r>
        <w:rPr>
          <w:rFonts w:hint="eastAsia" w:ascii="仿宋_GB2312" w:eastAsia="仿宋_GB2312"/>
          <w:sz w:val="32"/>
          <w:szCs w:val="32"/>
          <w:lang w:val="en-US" w:eastAsia="zh-CN"/>
        </w:rPr>
        <w:t>单位</w:t>
      </w:r>
      <w:r>
        <w:rPr>
          <w:rFonts w:hint="eastAsia" w:ascii="仿宋_GB2312" w:eastAsia="仿宋_GB2312"/>
          <w:sz w:val="32"/>
          <w:szCs w:val="32"/>
        </w:rPr>
        <w:t>本年</w:t>
      </w:r>
      <w:r>
        <w:rPr>
          <w:rFonts w:hint="eastAsia" w:ascii="仿宋_GB2312" w:eastAsia="仿宋_GB2312"/>
          <w:sz w:val="32"/>
          <w:szCs w:val="32"/>
          <w:lang w:val="en-US" w:eastAsia="zh-CN"/>
        </w:rPr>
        <w:t>教师基础</w:t>
      </w:r>
      <w:r>
        <w:rPr>
          <w:rFonts w:hint="eastAsia" w:ascii="仿宋_GB2312" w:eastAsia="仿宋_GB2312"/>
          <w:sz w:val="32"/>
          <w:szCs w:val="32"/>
        </w:rPr>
        <w:t>绩效考评奖金减少。</w:t>
      </w:r>
    </w:p>
    <w:p w14:paraId="61FC97A2">
      <w:pPr>
        <w:ind w:firstLine="640" w:firstLineChars="200"/>
        <w:jc w:val="left"/>
        <w:rPr>
          <w:rFonts w:ascii="仿宋_GB2312" w:eastAsia="仿宋_GB2312"/>
          <w:sz w:val="32"/>
          <w:szCs w:val="32"/>
        </w:rPr>
      </w:pPr>
      <w:r>
        <w:rPr>
          <w:rFonts w:hint="eastAsia" w:ascii="仿宋_GB2312" w:eastAsia="仿宋_GB2312"/>
          <w:sz w:val="32"/>
          <w:szCs w:val="32"/>
        </w:rPr>
        <w:t>4.社会保障和就业支出（类）行政事业单位养老支出（款）事业单位离退休（项）:支出决算数为9.62万元，比上年决算增加6.05万元，增长169.47%，主要原因是：本年退休人员增加，退休人员取暖费、交通补助费用增加。</w:t>
      </w:r>
    </w:p>
    <w:p w14:paraId="32521518">
      <w:pPr>
        <w:ind w:firstLine="640" w:firstLineChars="200"/>
        <w:jc w:val="left"/>
        <w:rPr>
          <w:rFonts w:ascii="仿宋_GB2312" w:eastAsia="仿宋_GB2312"/>
          <w:sz w:val="32"/>
          <w:szCs w:val="32"/>
        </w:rPr>
      </w:pPr>
      <w:r>
        <w:rPr>
          <w:rFonts w:hint="eastAsia" w:ascii="仿宋_GB2312" w:eastAsia="仿宋_GB2312"/>
          <w:sz w:val="32"/>
          <w:szCs w:val="32"/>
        </w:rPr>
        <w:t>5.教育支出（类）普通教育（款）学前教育（项）:支出决算数为415.51万元，比上年决算增加122.28万元，增长41.70%，主要原因是：</w:t>
      </w:r>
      <w:r>
        <w:rPr>
          <w:rFonts w:hint="eastAsia" w:ascii="仿宋_GB2312" w:eastAsia="仿宋_GB2312"/>
          <w:sz w:val="32"/>
          <w:szCs w:val="32"/>
          <w:lang w:val="en-US" w:eastAsia="zh-CN"/>
        </w:rPr>
        <w:t>单位</w:t>
      </w:r>
      <w:r>
        <w:rPr>
          <w:rFonts w:hint="eastAsia" w:ascii="仿宋_GB2312" w:eastAsia="仿宋_GB2312"/>
          <w:sz w:val="32"/>
          <w:szCs w:val="32"/>
        </w:rPr>
        <w:t>本年</w:t>
      </w:r>
      <w:r>
        <w:rPr>
          <w:rFonts w:hint="eastAsia" w:ascii="仿宋_GB2312" w:eastAsia="仿宋_GB2312"/>
          <w:sz w:val="32"/>
          <w:szCs w:val="32"/>
          <w:lang w:val="en-US" w:eastAsia="zh-CN"/>
        </w:rPr>
        <w:t>在职人员工资</w:t>
      </w:r>
      <w:r>
        <w:rPr>
          <w:rFonts w:hint="eastAsia" w:ascii="仿宋_GB2312" w:eastAsia="仿宋_GB2312"/>
          <w:sz w:val="32"/>
          <w:szCs w:val="32"/>
        </w:rPr>
        <w:t>调</w:t>
      </w:r>
      <w:r>
        <w:rPr>
          <w:rFonts w:hint="eastAsia" w:ascii="仿宋_GB2312" w:eastAsia="仿宋_GB2312"/>
          <w:sz w:val="32"/>
          <w:szCs w:val="32"/>
          <w:lang w:val="en-US" w:eastAsia="zh-CN"/>
        </w:rPr>
        <w:t>增，工资、津贴补贴、奖金等相关人员</w:t>
      </w:r>
      <w:r>
        <w:rPr>
          <w:rFonts w:hint="eastAsia" w:ascii="仿宋_GB2312" w:eastAsia="仿宋_GB2312"/>
          <w:sz w:val="32"/>
          <w:szCs w:val="32"/>
        </w:rPr>
        <w:t>经费增加。</w:t>
      </w:r>
    </w:p>
    <w:p w14:paraId="11FFFB22">
      <w:pPr>
        <w:ind w:firstLine="640" w:firstLineChars="200"/>
        <w:jc w:val="left"/>
        <w:rPr>
          <w:rFonts w:ascii="仿宋_GB2312" w:eastAsia="仿宋_GB2312"/>
          <w:sz w:val="32"/>
          <w:szCs w:val="32"/>
        </w:rPr>
      </w:pPr>
      <w:r>
        <w:rPr>
          <w:rFonts w:hint="eastAsia" w:ascii="仿宋_GB2312" w:eastAsia="仿宋_GB2312"/>
          <w:sz w:val="32"/>
          <w:szCs w:val="32"/>
        </w:rPr>
        <w:t>6.社会保障和就业支出（类）行政事业单位养老支出（款）机关事业单位职业年金缴费支出（项）:支出决算数为50.38万元，比上年决算增加33.97万元，增长207.01%，主要原因是：本年退休人员增加，</w:t>
      </w:r>
      <w:r>
        <w:rPr>
          <w:rFonts w:hint="eastAsia" w:ascii="仿宋_GB2312" w:eastAsia="仿宋_GB2312"/>
          <w:sz w:val="32"/>
          <w:szCs w:val="32"/>
          <w:lang w:val="en-US" w:eastAsia="zh-CN"/>
        </w:rPr>
        <w:t>人员</w:t>
      </w:r>
      <w:r>
        <w:rPr>
          <w:rFonts w:hint="eastAsia" w:ascii="仿宋_GB2312" w:eastAsia="仿宋_GB2312"/>
          <w:sz w:val="32"/>
          <w:szCs w:val="32"/>
        </w:rPr>
        <w:t>职业年金</w:t>
      </w:r>
      <w:r>
        <w:rPr>
          <w:rFonts w:hint="eastAsia" w:ascii="仿宋_GB2312" w:eastAsia="仿宋_GB2312"/>
          <w:sz w:val="32"/>
          <w:szCs w:val="32"/>
          <w:lang w:val="en-US" w:eastAsia="zh-CN"/>
        </w:rPr>
        <w:t>缴费</w:t>
      </w:r>
      <w:r>
        <w:rPr>
          <w:rFonts w:hint="eastAsia" w:ascii="仿宋_GB2312" w:eastAsia="仿宋_GB2312"/>
          <w:sz w:val="32"/>
          <w:szCs w:val="32"/>
        </w:rPr>
        <w:t>增加。</w:t>
      </w:r>
    </w:p>
    <w:p w14:paraId="245210C9">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14:paraId="7B5AA2CB">
      <w:pPr>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基本支出1,613.62万元，其中：人员经费1,594.73万元，包括：基本工资、津贴补贴、奖金、机关事业单位基本养老保险缴费、职业年金缴费、职工基本医疗保险缴费、其他社会保障缴费、住房公积金、退休费、抚恤金、生活补助、奖励金、其他对个人和家庭的补助。</w:t>
      </w:r>
    </w:p>
    <w:p w14:paraId="5F24334A">
      <w:pPr>
        <w:ind w:firstLine="640" w:firstLineChars="200"/>
        <w:jc w:val="left"/>
        <w:rPr>
          <w:rFonts w:ascii="仿宋_GB2312" w:eastAsia="仿宋_GB2312"/>
          <w:sz w:val="32"/>
          <w:szCs w:val="32"/>
        </w:rPr>
      </w:pPr>
      <w:r>
        <w:rPr>
          <w:rFonts w:hint="eastAsia" w:ascii="仿宋_GB2312" w:eastAsia="仿宋_GB2312"/>
          <w:sz w:val="32"/>
          <w:szCs w:val="32"/>
        </w:rPr>
        <w:t>公用经费18.88万元，包括：电费、取暖费。</w:t>
      </w:r>
    </w:p>
    <w:p w14:paraId="7DC9A0A1">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14:paraId="3B2442A4">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w:t>
      </w:r>
      <w:r>
        <w:rPr>
          <w:rFonts w:hint="eastAsia" w:ascii="仿宋_GB2312" w:eastAsia="仿宋_GB2312"/>
          <w:sz w:val="32"/>
          <w:szCs w:val="32"/>
        </w:rPr>
        <w:t>财政拨款</w:t>
      </w:r>
      <w:r>
        <w:rPr>
          <w:rFonts w:hint="eastAsia" w:ascii="仿宋_GB2312" w:eastAsia="仿宋_GB2312"/>
          <w:sz w:val="32"/>
          <w:szCs w:val="32"/>
          <w:lang w:val="zh-CN"/>
        </w:rPr>
        <w:t>“三公”经费支出0.00万元，</w:t>
      </w:r>
      <w:r>
        <w:rPr>
          <w:rFonts w:hint="eastAsia" w:ascii="仿宋_GB2312" w:eastAsia="仿宋_GB2312"/>
          <w:sz w:val="32"/>
          <w:szCs w:val="32"/>
        </w:rPr>
        <w:t>比上年</w:t>
      </w:r>
      <w:r>
        <w:rPr>
          <w:rFonts w:hint="eastAsia" w:ascii="仿宋_GB2312" w:eastAsia="仿宋_GB2312"/>
          <w:sz w:val="32"/>
          <w:szCs w:val="32"/>
          <w:lang w:val="zh-CN"/>
        </w:rPr>
        <w:t>增加0.00万元，</w:t>
      </w:r>
      <w:r>
        <w:rPr>
          <w:rFonts w:hint="eastAsia" w:ascii="仿宋_GB2312" w:eastAsia="仿宋_GB2312"/>
          <w:sz w:val="32"/>
          <w:szCs w:val="32"/>
        </w:rPr>
        <w:t>增长0.00%,</w:t>
      </w:r>
      <w:r>
        <w:rPr>
          <w:rFonts w:hint="eastAsia" w:ascii="仿宋_GB2312" w:eastAsia="仿宋_GB2312"/>
          <w:sz w:val="32"/>
          <w:szCs w:val="32"/>
          <w:lang w:val="zh-CN"/>
        </w:rPr>
        <w:t>主要原因是：本年单位无此项支出。其中：因公出国（境）费支出0.00万元，占0.00%，比上年增加0.00万元，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主要原因是：本年单位无此项支出；公务用车购置及运行维护费支出0.00万元，占0.00%，比上年增加0.00万元，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主要原因是：本年单位无此项支出；公务接待费支出0.00万元，占0.00%，比上年增加0.00万元，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主要原因是：本年单位无此项支出。</w:t>
      </w:r>
    </w:p>
    <w:p w14:paraId="791D54AF">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具体情况如下：</w:t>
      </w:r>
    </w:p>
    <w:p w14:paraId="7546A5DF">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因公出国（境）费支出0.00万元，开支内容包括本年单位无此项支出。单位全年安排的因公出国（境）团组0个，因公出国（境）0人次。</w:t>
      </w:r>
    </w:p>
    <w:p w14:paraId="32565639">
      <w:pPr>
        <w:ind w:firstLine="640" w:firstLineChars="200"/>
        <w:jc w:val="left"/>
        <w:rPr>
          <w:rFonts w:ascii="仿宋_GB2312" w:eastAsia="仿宋_GB2312"/>
          <w:sz w:val="32"/>
          <w:szCs w:val="32"/>
        </w:rPr>
      </w:pPr>
      <w:r>
        <w:rPr>
          <w:rFonts w:hint="eastAsia" w:ascii="仿宋_GB2312" w:eastAsia="仿宋_GB2312"/>
          <w:sz w:val="32"/>
          <w:szCs w:val="32"/>
          <w:lang w:val="zh-CN"/>
        </w:rPr>
        <w:t>公务用车购置及运行维护费0.00万元，其中：公务用车购置费0.00万元，公务用车运行维护费0.00万元。公务用车运行维护费开支内容包括本年单位无此项支出。公务用车购置数0辆，公务用车保有量0辆。国有资产占用情况</w:t>
      </w:r>
      <w:r>
        <w:rPr>
          <w:rFonts w:hint="eastAsia" w:ascii="仿宋_GB2312" w:eastAsia="仿宋_GB2312"/>
          <w:sz w:val="32"/>
          <w:szCs w:val="32"/>
        </w:rPr>
        <w:t>中固定资产车辆</w:t>
      </w:r>
      <w:r>
        <w:rPr>
          <w:rFonts w:hint="eastAsia" w:ascii="仿宋_GB2312" w:eastAsia="仿宋_GB2312"/>
          <w:sz w:val="32"/>
          <w:szCs w:val="32"/>
          <w:lang w:val="zh-CN"/>
        </w:rPr>
        <w:t>0辆，</w:t>
      </w:r>
      <w:r>
        <w:rPr>
          <w:rFonts w:hint="eastAsia" w:ascii="仿宋_GB2312" w:eastAsia="仿宋_GB2312"/>
          <w:sz w:val="32"/>
          <w:szCs w:val="32"/>
        </w:rPr>
        <w:t>与</w:t>
      </w:r>
      <w:r>
        <w:rPr>
          <w:rFonts w:hint="eastAsia" w:ascii="仿宋_GB2312" w:eastAsia="仿宋_GB2312"/>
          <w:sz w:val="32"/>
          <w:szCs w:val="32"/>
          <w:lang w:val="zh-CN"/>
        </w:rPr>
        <w:t>公务用车</w:t>
      </w:r>
      <w:r>
        <w:rPr>
          <w:rFonts w:hint="eastAsia" w:ascii="仿宋_GB2312" w:eastAsia="仿宋_GB2312"/>
          <w:sz w:val="32"/>
          <w:szCs w:val="32"/>
        </w:rPr>
        <w:t>保有量差异</w:t>
      </w:r>
      <w:r>
        <w:rPr>
          <w:rFonts w:hint="eastAsia" w:ascii="仿宋_GB2312" w:eastAsia="仿宋_GB2312"/>
          <w:sz w:val="32"/>
          <w:szCs w:val="32"/>
          <w:lang w:val="zh-CN"/>
        </w:rPr>
        <w:t>原因是：本单位固定资产车辆与公务用车保有量一致无差异。</w:t>
      </w:r>
    </w:p>
    <w:p w14:paraId="35368613">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公务接待费0.00万元，开支内容包括本年单位无此项支出。单位全年安排的国内公务接待0批次，0人次。</w:t>
      </w:r>
    </w:p>
    <w:p w14:paraId="07C257AE">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与</w:t>
      </w:r>
      <w:r>
        <w:rPr>
          <w:rFonts w:hint="eastAsia" w:ascii="仿宋_GB2312" w:eastAsia="仿宋_GB2312"/>
          <w:sz w:val="32"/>
          <w:szCs w:val="32"/>
        </w:rPr>
        <w:t>全年</w:t>
      </w:r>
      <w:r>
        <w:rPr>
          <w:rFonts w:hint="eastAsia" w:ascii="仿宋_GB2312" w:eastAsia="仿宋_GB2312"/>
          <w:sz w:val="32"/>
          <w:szCs w:val="32"/>
          <w:lang w:val="zh-CN"/>
        </w:rPr>
        <w:t>预算相比</w:t>
      </w:r>
      <w:bookmarkStart w:id="48" w:name="_GoBack"/>
      <w:r>
        <w:rPr>
          <w:rFonts w:hint="eastAsia" w:ascii="仿宋_GB2312" w:eastAsia="仿宋_GB2312"/>
          <w:sz w:val="32"/>
          <w:szCs w:val="32"/>
        </w:rPr>
        <w:t>,</w:t>
      </w:r>
      <w:bookmarkEnd w:id="48"/>
      <w:r>
        <w:rPr>
          <w:rFonts w:hint="eastAsia" w:ascii="仿宋_GB2312" w:eastAsia="仿宋_GB2312"/>
          <w:sz w:val="32"/>
          <w:szCs w:val="32"/>
          <w:lang w:val="zh-CN"/>
        </w:rPr>
        <w:t>财政拨款“三公”经费支出</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预算数0.00万元，决算数0.00万元，预决算差异率0.00%，主要原因是：本年单位无此项支出。其中：因公出国（境）费</w:t>
      </w:r>
      <w:r>
        <w:rPr>
          <w:rFonts w:hint="eastAsia" w:ascii="仿宋_GB2312" w:eastAsia="仿宋_GB2312"/>
          <w:sz w:val="32"/>
          <w:szCs w:val="32"/>
        </w:rPr>
        <w:t>全年预算数</w:t>
      </w:r>
      <w:r>
        <w:rPr>
          <w:rFonts w:hint="eastAsia" w:ascii="仿宋_GB2312" w:eastAsia="仿宋_GB2312"/>
          <w:sz w:val="32"/>
          <w:szCs w:val="32"/>
          <w:lang w:val="zh-CN"/>
        </w:rPr>
        <w:t>0.00万元，决算数0.00万元，预决算差异率0.00%，主要原因是：本年单位无此项支出；公务用车购置费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预算数0.00万元，决算数0.00万元，预决算差异率0.00%，主要原因是：本年单位无此项支出；公务用车运行费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预算数0.00万元，决算数0.00万元，预决算差异率0.00%，主要原因是：本年单位无此项支出；公务接待费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预算数0.00万元，决算数0.00万元，预决算差异率0.00%，主要原因是：本年单位无此项支出。</w:t>
      </w:r>
    </w:p>
    <w:p w14:paraId="45AA5A58">
      <w:pPr>
        <w:ind w:firstLine="640" w:firstLineChars="200"/>
        <w:jc w:val="left"/>
        <w:outlineLvl w:val="1"/>
        <w:rPr>
          <w:rFonts w:hint="eastAsia" w:ascii="黑体" w:hAnsi="黑体" w:eastAsia="黑体" w:cs="宋体"/>
          <w:bCs/>
          <w:kern w:val="0"/>
          <w:sz w:val="32"/>
          <w:szCs w:val="32"/>
        </w:rPr>
      </w:pPr>
      <w:bookmarkStart w:id="18" w:name="_Toc5810"/>
      <w:bookmarkStart w:id="19" w:name="_Toc7927"/>
      <w:r>
        <w:rPr>
          <w:rFonts w:hint="eastAsia" w:ascii="黑体" w:hAnsi="黑体" w:eastAsia="黑体" w:cs="宋体"/>
          <w:bCs/>
          <w:kern w:val="0"/>
          <w:sz w:val="32"/>
          <w:szCs w:val="32"/>
        </w:rPr>
        <w:t>八、政府性基金预算财政拨款收入支出决算情况说明</w:t>
      </w:r>
      <w:bookmarkEnd w:id="18"/>
      <w:bookmarkEnd w:id="19"/>
    </w:p>
    <w:p w14:paraId="6E15A6C6">
      <w:pPr>
        <w:ind w:firstLine="640" w:firstLineChars="200"/>
        <w:jc w:val="left"/>
        <w:rPr>
          <w:rFonts w:ascii="仿宋_GB2312" w:eastAsia="仿宋_GB2312"/>
          <w:sz w:val="32"/>
          <w:szCs w:val="32"/>
        </w:rPr>
      </w:pPr>
      <w:r>
        <w:rPr>
          <w:rFonts w:hint="eastAsia" w:ascii="仿宋_GB2312" w:eastAsia="仿宋_GB2312"/>
          <w:sz w:val="32"/>
          <w:szCs w:val="32"/>
        </w:rPr>
        <w:t>我单位本年度无政府性基金预算财政拨款收入、支出及结转和结余，政府性基金预算财政拨款收入支出决算表为空表。</w:t>
      </w:r>
    </w:p>
    <w:p w14:paraId="00806AAB">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14:paraId="6F43B99A">
      <w:pPr>
        <w:ind w:firstLine="640" w:firstLineChars="200"/>
        <w:jc w:val="left"/>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14:paraId="13F61053">
      <w:pPr>
        <w:ind w:firstLine="640" w:firstLineChars="200"/>
        <w:jc w:val="left"/>
        <w:outlineLvl w:val="1"/>
        <w:rPr>
          <w:rFonts w:hint="eastAsia" w:ascii="黑体" w:hAnsi="黑体" w:eastAsia="黑体" w:cs="宋体"/>
          <w:bCs/>
          <w:kern w:val="0"/>
          <w:sz w:val="32"/>
          <w:szCs w:val="32"/>
        </w:rPr>
      </w:pPr>
      <w:bookmarkStart w:id="20" w:name="_Toc7314"/>
      <w:bookmarkStart w:id="21" w:name="_Toc1235"/>
      <w:r>
        <w:rPr>
          <w:rFonts w:hint="eastAsia" w:ascii="黑体" w:hAnsi="黑体" w:eastAsia="黑体" w:cs="宋体"/>
          <w:bCs/>
          <w:kern w:val="0"/>
          <w:sz w:val="32"/>
          <w:szCs w:val="32"/>
        </w:rPr>
        <w:t>十、其他重要事项的情况说明</w:t>
      </w:r>
      <w:bookmarkEnd w:id="20"/>
      <w:bookmarkEnd w:id="21"/>
    </w:p>
    <w:p w14:paraId="61DD089B">
      <w:pPr>
        <w:ind w:firstLine="640" w:firstLineChars="200"/>
        <w:jc w:val="left"/>
        <w:outlineLvl w:val="2"/>
        <w:rPr>
          <w:rFonts w:hint="eastAsia" w:ascii="黑体" w:hAnsi="黑体" w:eastAsia="黑体"/>
          <w:sz w:val="32"/>
          <w:szCs w:val="32"/>
        </w:rPr>
      </w:pPr>
      <w:bookmarkStart w:id="22" w:name="_Toc14519"/>
      <w:bookmarkStart w:id="23" w:name="_Toc13105"/>
      <w:r>
        <w:rPr>
          <w:rFonts w:hint="eastAsia" w:ascii="黑体" w:hAnsi="黑体" w:eastAsia="黑体"/>
          <w:sz w:val="32"/>
          <w:szCs w:val="32"/>
        </w:rPr>
        <w:t>（一）机关运行经费支出情况</w:t>
      </w:r>
      <w:bookmarkEnd w:id="22"/>
      <w:bookmarkEnd w:id="23"/>
    </w:p>
    <w:p w14:paraId="77A014F2">
      <w:pPr>
        <w:ind w:firstLine="640" w:firstLineChars="200"/>
        <w:jc w:val="left"/>
        <w:rPr>
          <w:rFonts w:ascii="仿宋_GB2312" w:eastAsia="仿宋_GB2312"/>
          <w:sz w:val="32"/>
          <w:szCs w:val="32"/>
        </w:rPr>
      </w:pPr>
      <w:bookmarkStart w:id="24" w:name="_Toc227"/>
      <w:bookmarkStart w:id="25" w:name="_Toc26704"/>
      <w:r>
        <w:rPr>
          <w:rFonts w:hint="eastAsia" w:ascii="仿宋_GB2312" w:eastAsia="仿宋_GB2312"/>
          <w:sz w:val="32"/>
          <w:szCs w:val="32"/>
        </w:rPr>
        <w:t>2023年度木垒哈萨克自治县雀仁乡中心学校（事业单位）公用经费支出18.88万元，比上年增加5.50万元，增长41.11%，主要原因是：本年校园校舍电费、取暖费增加。</w:t>
      </w:r>
    </w:p>
    <w:p w14:paraId="535084AB">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14:paraId="52FE7E98">
      <w:pPr>
        <w:ind w:firstLine="640" w:firstLineChars="200"/>
        <w:jc w:val="left"/>
        <w:rPr>
          <w:rFonts w:ascii="仿宋_GB2312" w:eastAsia="仿宋_GB2312"/>
          <w:sz w:val="32"/>
          <w:szCs w:val="32"/>
        </w:rPr>
      </w:pPr>
      <w:r>
        <w:rPr>
          <w:rFonts w:hint="eastAsia" w:ascii="仿宋_GB2312" w:eastAsia="仿宋_GB2312"/>
          <w:sz w:val="32"/>
          <w:szCs w:val="32"/>
        </w:rPr>
        <w:t>2023年度政府采购支出总额0.00万元，其中：政府采购货物支出0.00万元、政府采购工程支出0.00万元、政府采购服务支出0.00万元。</w:t>
      </w:r>
    </w:p>
    <w:p w14:paraId="084B6B55">
      <w:pPr>
        <w:ind w:firstLine="640" w:firstLineChars="200"/>
        <w:jc w:val="left"/>
        <w:rPr>
          <w:rFonts w:ascii="仿宋_GB2312" w:eastAsia="仿宋_GB2312"/>
          <w:sz w:val="32"/>
          <w:szCs w:val="32"/>
        </w:rPr>
      </w:pPr>
      <w:r>
        <w:rPr>
          <w:rFonts w:hint="eastAsia" w:ascii="仿宋_GB2312" w:eastAsia="仿宋_GB2312"/>
          <w:sz w:val="32"/>
          <w:szCs w:val="32"/>
        </w:rPr>
        <w:t>授予中小企业合同金额0.00万元，占政府采购支出总额的0.00</w:t>
      </w:r>
      <w:r>
        <w:rPr>
          <w:rFonts w:ascii="仿宋_GB2312" w:eastAsia="仿宋_GB2312"/>
          <w:sz w:val="32"/>
          <w:szCs w:val="32"/>
        </w:rPr>
        <w:t>%</w:t>
      </w:r>
      <w:r>
        <w:rPr>
          <w:rFonts w:hint="eastAsia" w:ascii="仿宋_GB2312" w:eastAsia="仿宋_GB2312"/>
          <w:sz w:val="32"/>
          <w:szCs w:val="32"/>
        </w:rPr>
        <w:t>，其中：授予小微企业合同金额0.00万元，占政府采购支出总额的0.00</w:t>
      </w:r>
      <w:r>
        <w:rPr>
          <w:rFonts w:ascii="仿宋_GB2312" w:eastAsia="仿宋_GB2312"/>
          <w:sz w:val="32"/>
          <w:szCs w:val="32"/>
        </w:rPr>
        <w:t>%</w:t>
      </w:r>
      <w:r>
        <w:rPr>
          <w:rFonts w:hint="eastAsia" w:ascii="仿宋_GB2312" w:eastAsia="仿宋_GB2312"/>
          <w:sz w:val="32"/>
          <w:szCs w:val="32"/>
        </w:rPr>
        <w:t>。</w:t>
      </w:r>
    </w:p>
    <w:p w14:paraId="506154C0">
      <w:pPr>
        <w:ind w:firstLine="640" w:firstLineChars="200"/>
        <w:jc w:val="left"/>
        <w:rPr>
          <w:rFonts w:eastAsia="黑体"/>
          <w:sz w:val="32"/>
          <w:szCs w:val="30"/>
          <w:lang w:val="zh-CN"/>
        </w:rPr>
      </w:pPr>
      <w:bookmarkStart w:id="26" w:name="_Toc4591"/>
      <w:bookmarkStart w:id="27" w:name="_Toc8391"/>
      <w:r>
        <w:rPr>
          <w:rFonts w:hint="eastAsia" w:eastAsia="黑体"/>
          <w:sz w:val="32"/>
          <w:szCs w:val="30"/>
          <w:lang w:val="zh-CN"/>
        </w:rPr>
        <w:t>（三）国有资产占用情况说明</w:t>
      </w:r>
      <w:bookmarkEnd w:id="26"/>
      <w:bookmarkEnd w:id="27"/>
    </w:p>
    <w:p w14:paraId="40FD1E6B">
      <w:pPr>
        <w:ind w:firstLine="640" w:firstLineChars="200"/>
        <w:jc w:val="left"/>
        <w:rPr>
          <w:rFonts w:ascii="仿宋_GB2312" w:eastAsia="仿宋_GB2312"/>
          <w:sz w:val="32"/>
          <w:szCs w:val="32"/>
        </w:rPr>
      </w:pPr>
      <w:r>
        <w:rPr>
          <w:rFonts w:hint="eastAsia" w:ascii="仿宋_GB2312" w:eastAsia="仿宋_GB2312"/>
          <w:sz w:val="32"/>
          <w:szCs w:val="32"/>
        </w:rPr>
        <w:t>截至2023年12月31日，固定资产原值2,250.40万元，房屋10,325.22平方米，价值1,980.04万元。车辆0辆，价值0.00万元，其中：副部（省）级及以上领导用车0辆、主要负责人用车0辆、机要通信用车0辆、应急保障用车0辆、执法执勤用车0辆、特种专业技术用车0辆、离退休干部服务用车0辆、其他用车0辆，其他用车主要是：单位无其他车辆；单价100万元（含）以上设备（不含车辆）0台（套）。</w:t>
      </w:r>
    </w:p>
    <w:p w14:paraId="4984D273">
      <w:pPr>
        <w:ind w:firstLine="640" w:firstLineChars="200"/>
        <w:jc w:val="left"/>
        <w:outlineLvl w:val="1"/>
        <w:rPr>
          <w:rFonts w:hint="eastAsia" w:ascii="黑体" w:hAnsi="黑体" w:eastAsia="黑体" w:cs="宋体"/>
          <w:bCs/>
          <w:kern w:val="0"/>
          <w:sz w:val="32"/>
          <w:szCs w:val="32"/>
        </w:rPr>
      </w:pPr>
      <w:bookmarkStart w:id="28" w:name="_Toc435"/>
      <w:bookmarkStart w:id="29" w:name="_Toc11283"/>
      <w:r>
        <w:rPr>
          <w:rFonts w:hint="eastAsia" w:ascii="黑体" w:hAnsi="黑体" w:eastAsia="黑体" w:cs="宋体"/>
          <w:bCs/>
          <w:kern w:val="0"/>
          <w:sz w:val="32"/>
          <w:szCs w:val="32"/>
        </w:rPr>
        <w:t>十一、预算绩效的情况说明</w:t>
      </w:r>
      <w:bookmarkEnd w:id="28"/>
      <w:bookmarkEnd w:id="29"/>
    </w:p>
    <w:p w14:paraId="078A6EFB">
      <w:pPr>
        <w:ind w:firstLine="640" w:firstLineChars="200"/>
        <w:jc w:val="left"/>
        <w:rPr>
          <w:rFonts w:ascii="仿宋_GB2312" w:eastAsia="仿宋_GB2312"/>
          <w:sz w:val="32"/>
          <w:szCs w:val="32"/>
        </w:rPr>
      </w:pPr>
      <w:r>
        <w:rPr>
          <w:rFonts w:hint="eastAsia" w:ascii="仿宋_GB2312" w:eastAsia="仿宋_GB2312"/>
          <w:sz w:val="32"/>
          <w:szCs w:val="32"/>
        </w:rPr>
        <w:t>根据预算绩效管理要求，我单位2023年度</w:t>
      </w:r>
      <w:r>
        <w:rPr>
          <w:rFonts w:hint="eastAsia" w:ascii="仿宋_GB2312" w:hAnsi="仿宋_GB2312" w:eastAsia="仿宋_GB2312" w:cs="仿宋_GB2312"/>
          <w:kern w:val="0"/>
          <w:sz w:val="32"/>
          <w:szCs w:val="32"/>
        </w:rPr>
        <w:t>预算绩效管理整体支出绩效自评表</w:t>
      </w:r>
      <w:r>
        <w:rPr>
          <w:rFonts w:hint="eastAsia" w:ascii="仿宋_GB2312" w:eastAsia="仿宋_GB2312"/>
          <w:sz w:val="32"/>
          <w:szCs w:val="32"/>
        </w:rPr>
        <w:t>1</w:t>
      </w:r>
      <w:r>
        <w:rPr>
          <w:rFonts w:hint="eastAsia" w:ascii="仿宋_GB2312" w:hAnsi="仿宋_GB2312" w:eastAsia="仿宋_GB2312" w:cs="仿宋_GB2312"/>
          <w:kern w:val="0"/>
          <w:sz w:val="32"/>
          <w:szCs w:val="32"/>
        </w:rPr>
        <w:t>个，全年</w:t>
      </w:r>
      <w:r>
        <w:rPr>
          <w:rFonts w:hint="eastAsia" w:ascii="仿宋_GB2312" w:eastAsia="仿宋_GB2312"/>
          <w:sz w:val="32"/>
          <w:szCs w:val="32"/>
        </w:rPr>
        <w:t>预算总额</w:t>
      </w:r>
      <w:r>
        <w:rPr>
          <w:rFonts w:ascii="仿宋_GB2312" w:eastAsia="仿宋_GB2312"/>
          <w:sz w:val="32"/>
          <w:szCs w:val="32"/>
        </w:rPr>
        <w:t>1,813.83</w:t>
      </w:r>
      <w:r>
        <w:rPr>
          <w:rFonts w:hint="eastAsia" w:ascii="仿宋_GB2312" w:eastAsia="仿宋_GB2312"/>
          <w:sz w:val="32"/>
          <w:szCs w:val="32"/>
        </w:rPr>
        <w:t>万元，实际执行总额</w:t>
      </w:r>
      <w:r>
        <w:rPr>
          <w:rFonts w:ascii="仿宋_GB2312" w:eastAsia="仿宋_GB2312"/>
          <w:sz w:val="32"/>
          <w:szCs w:val="32"/>
        </w:rPr>
        <w:t>1,810.56</w:t>
      </w:r>
      <w:r>
        <w:rPr>
          <w:rFonts w:hint="eastAsia" w:ascii="仿宋_GB2312" w:eastAsia="仿宋_GB2312"/>
          <w:sz w:val="32"/>
          <w:szCs w:val="32"/>
        </w:rPr>
        <w:t>万元</w:t>
      </w:r>
      <w:r>
        <w:rPr>
          <w:rFonts w:hint="eastAsia" w:ascii="仿宋_GB2312" w:hAnsi="仿宋_GB2312" w:eastAsia="仿宋_GB2312" w:cs="仿宋_GB2312"/>
          <w:kern w:val="0"/>
          <w:sz w:val="32"/>
          <w:szCs w:val="32"/>
        </w:rPr>
        <w:t>；</w:t>
      </w:r>
      <w:r>
        <w:rPr>
          <w:rFonts w:hint="eastAsia" w:ascii="仿宋_GB2312" w:eastAsia="仿宋_GB2312"/>
          <w:sz w:val="32"/>
          <w:szCs w:val="32"/>
        </w:rPr>
        <w:t>预算绩效评价项目0个，全年预算数0.00万元，全年执行数0.00万元。预算绩效管理取得的成效：一是做好群众服务工作，保障社会大局稳定，提高群众安全感；二是促进统筹规划和综合协调，提升人居环境质量</w:t>
      </w:r>
      <w:r>
        <w:rPr>
          <w:rFonts w:hint="eastAsia" w:ascii="仿宋_GB2312" w:eastAsia="仿宋_GB2312"/>
          <w:sz w:val="32"/>
          <w:szCs w:val="32"/>
          <w:lang w:eastAsia="zh-CN"/>
        </w:rPr>
        <w:t>，</w:t>
      </w:r>
      <w:r>
        <w:rPr>
          <w:rFonts w:hint="eastAsia" w:ascii="仿宋_GB2312" w:eastAsia="仿宋_GB2312"/>
          <w:sz w:val="32"/>
          <w:szCs w:val="32"/>
        </w:rPr>
        <w:t>提升群众人居环境。发现的问题及原因：一是部门职能不明确，个别工作分工不清晰，且人员培训和绩效考核制度不够完善，考核方案部分内容和人员名单更新滞后；二是部门整体绩效指标应从单位全局高度出发，围绕部门单位履职的核心任务，分析提炼部门单位年度目标，再细化为具体的三级指标，以结果性、效益性指标为主。下一步改进措施：一是构建专业、客观、独立、多样的绩效评价主体。在可能的条件下，引入社会绩效评价组织，专家，</w:t>
      </w:r>
      <w:r>
        <w:rPr>
          <w:rFonts w:hint="eastAsia" w:ascii="仿宋_GB2312" w:eastAsia="仿宋_GB2312"/>
          <w:sz w:val="32"/>
          <w:szCs w:val="32"/>
          <w:lang w:eastAsia="zh-CN"/>
        </w:rPr>
        <w:t>高校</w:t>
      </w:r>
      <w:r>
        <w:rPr>
          <w:rFonts w:hint="eastAsia" w:ascii="仿宋_GB2312" w:eastAsia="仿宋_GB2312"/>
          <w:sz w:val="32"/>
          <w:szCs w:val="32"/>
        </w:rPr>
        <w:t>研究人员等；二是提高部门整体支出绩效目标设定的合理性，重视部门整体支出绩效评价中的问题总结。具体项目自评情况附绩效自评表及自评报告。</w:t>
      </w:r>
    </w:p>
    <w:tbl>
      <w:tblPr>
        <w:tblStyle w:val="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15"/>
        <w:gridCol w:w="983"/>
        <w:gridCol w:w="395"/>
        <w:gridCol w:w="1101"/>
        <w:gridCol w:w="84"/>
        <w:gridCol w:w="1192"/>
        <w:gridCol w:w="1160"/>
        <w:gridCol w:w="289"/>
        <w:gridCol w:w="647"/>
        <w:gridCol w:w="753"/>
        <w:gridCol w:w="603"/>
      </w:tblGrid>
      <w:tr w14:paraId="751D88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8522" w:type="dxa"/>
            <w:gridSpan w:val="11"/>
            <w:shd w:val="clear" w:color="auto" w:fill="auto"/>
            <w:noWrap/>
            <w:vAlign w:val="center"/>
          </w:tcPr>
          <w:p w14:paraId="3900F757">
            <w:pPr>
              <w:widowControl/>
              <w:jc w:val="center"/>
              <w:rPr>
                <w:rFonts w:hint="eastAsia" w:ascii="宋体" w:hAnsi="宋体" w:cs="宋体"/>
                <w:kern w:val="0"/>
                <w:sz w:val="20"/>
                <w:szCs w:val="20"/>
              </w:rPr>
            </w:pPr>
            <w:r>
              <w:rPr>
                <w:rFonts w:hint="eastAsia" w:ascii="宋体" w:hAnsi="宋体" w:cs="宋体"/>
                <w:kern w:val="0"/>
                <w:sz w:val="20"/>
                <w:szCs w:val="20"/>
              </w:rPr>
              <w:t>部门（单位）整体支出绩效目标自评表</w:t>
            </w:r>
          </w:p>
        </w:tc>
      </w:tr>
      <w:tr w14:paraId="1BA094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8522" w:type="dxa"/>
            <w:gridSpan w:val="11"/>
            <w:shd w:val="clear" w:color="auto" w:fill="auto"/>
            <w:noWrap/>
            <w:vAlign w:val="center"/>
          </w:tcPr>
          <w:p w14:paraId="09159277">
            <w:pPr>
              <w:widowControl/>
              <w:jc w:val="center"/>
              <w:rPr>
                <w:rFonts w:hint="eastAsia" w:ascii="宋体" w:hAnsi="宋体" w:cs="宋体"/>
                <w:kern w:val="0"/>
                <w:sz w:val="20"/>
                <w:szCs w:val="20"/>
              </w:rPr>
            </w:pPr>
            <w:r>
              <w:rPr>
                <w:rFonts w:hint="eastAsia" w:ascii="宋体" w:hAnsi="宋体" w:cs="宋体"/>
                <w:kern w:val="0"/>
                <w:sz w:val="20"/>
                <w:szCs w:val="20"/>
              </w:rPr>
              <w:t>（2023年度）</w:t>
            </w:r>
          </w:p>
        </w:tc>
      </w:tr>
      <w:tr w14:paraId="757A24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1315" w:type="dxa"/>
            <w:shd w:val="clear" w:color="auto" w:fill="auto"/>
            <w:vAlign w:val="center"/>
          </w:tcPr>
          <w:p w14:paraId="7A5CB918">
            <w:pPr>
              <w:widowControl/>
              <w:jc w:val="center"/>
              <w:rPr>
                <w:rFonts w:hint="eastAsia" w:ascii="宋体" w:hAnsi="宋体" w:cs="宋体"/>
                <w:kern w:val="0"/>
                <w:sz w:val="20"/>
                <w:szCs w:val="20"/>
              </w:rPr>
            </w:pPr>
            <w:r>
              <w:rPr>
                <w:rFonts w:hint="eastAsia" w:ascii="宋体" w:hAnsi="宋体" w:cs="宋体"/>
                <w:kern w:val="0"/>
                <w:sz w:val="20"/>
                <w:szCs w:val="20"/>
              </w:rPr>
              <w:t>部门（单位）名称</w:t>
            </w:r>
          </w:p>
        </w:tc>
        <w:tc>
          <w:tcPr>
            <w:tcW w:w="7207" w:type="dxa"/>
            <w:gridSpan w:val="10"/>
            <w:shd w:val="clear" w:color="auto" w:fill="auto"/>
            <w:noWrap/>
            <w:vAlign w:val="center"/>
          </w:tcPr>
          <w:p w14:paraId="5235D005">
            <w:pPr>
              <w:widowControl/>
              <w:jc w:val="center"/>
              <w:rPr>
                <w:rFonts w:hint="eastAsia" w:ascii="宋体" w:hAnsi="宋体" w:cs="宋体"/>
                <w:kern w:val="0"/>
                <w:sz w:val="20"/>
                <w:szCs w:val="20"/>
              </w:rPr>
            </w:pPr>
            <w:r>
              <w:rPr>
                <w:rFonts w:hint="eastAsia" w:ascii="宋体" w:hAnsi="宋体" w:cs="宋体"/>
                <w:kern w:val="0"/>
                <w:sz w:val="20"/>
                <w:szCs w:val="20"/>
                <w:lang w:eastAsia="zh-CN"/>
              </w:rPr>
              <w:t>木垒哈萨克自治县</w:t>
            </w:r>
            <w:r>
              <w:rPr>
                <w:rFonts w:hint="eastAsia" w:ascii="宋体" w:hAnsi="宋体" w:cs="宋体"/>
                <w:kern w:val="0"/>
                <w:sz w:val="20"/>
                <w:szCs w:val="20"/>
              </w:rPr>
              <w:t>雀仁中心学校</w:t>
            </w:r>
          </w:p>
        </w:tc>
      </w:tr>
      <w:tr w14:paraId="29857E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1315" w:type="dxa"/>
            <w:vMerge w:val="restart"/>
            <w:shd w:val="clear" w:color="auto" w:fill="auto"/>
            <w:vAlign w:val="center"/>
          </w:tcPr>
          <w:p w14:paraId="69E4EBFA">
            <w:pPr>
              <w:widowControl/>
              <w:jc w:val="center"/>
              <w:rPr>
                <w:rFonts w:hint="eastAsia" w:ascii="宋体" w:hAnsi="宋体" w:cs="宋体"/>
                <w:kern w:val="0"/>
                <w:sz w:val="20"/>
                <w:szCs w:val="20"/>
              </w:rPr>
            </w:pPr>
            <w:r>
              <w:rPr>
                <w:rFonts w:hint="eastAsia" w:ascii="宋体" w:hAnsi="宋体" w:cs="宋体"/>
                <w:kern w:val="0"/>
                <w:sz w:val="20"/>
                <w:szCs w:val="20"/>
              </w:rPr>
              <w:t>部门资金（万元）</w:t>
            </w:r>
          </w:p>
        </w:tc>
        <w:tc>
          <w:tcPr>
            <w:tcW w:w="1378" w:type="dxa"/>
            <w:gridSpan w:val="2"/>
            <w:shd w:val="clear" w:color="auto" w:fill="auto"/>
            <w:vAlign w:val="center"/>
          </w:tcPr>
          <w:p w14:paraId="0E3DD0EE">
            <w:pPr>
              <w:widowControl/>
              <w:jc w:val="center"/>
              <w:rPr>
                <w:rFonts w:hint="eastAsia" w:ascii="宋体" w:hAnsi="宋体" w:cs="宋体"/>
                <w:kern w:val="0"/>
                <w:sz w:val="20"/>
                <w:szCs w:val="20"/>
              </w:rPr>
            </w:pPr>
            <w:r>
              <w:rPr>
                <w:rFonts w:hint="eastAsia" w:ascii="宋体" w:hAnsi="宋体" w:cs="宋体"/>
                <w:kern w:val="0"/>
                <w:sz w:val="20"/>
                <w:szCs w:val="20"/>
              </w:rPr>
              <w:t>资金来源</w:t>
            </w:r>
          </w:p>
        </w:tc>
        <w:tc>
          <w:tcPr>
            <w:tcW w:w="1101" w:type="dxa"/>
            <w:shd w:val="clear" w:color="auto" w:fill="auto"/>
            <w:vAlign w:val="center"/>
          </w:tcPr>
          <w:p w14:paraId="7484FEA5">
            <w:pPr>
              <w:widowControl/>
              <w:jc w:val="center"/>
              <w:rPr>
                <w:rFonts w:hint="eastAsia" w:ascii="宋体" w:hAnsi="宋体" w:cs="宋体"/>
                <w:kern w:val="0"/>
                <w:sz w:val="20"/>
                <w:szCs w:val="20"/>
              </w:rPr>
            </w:pPr>
            <w:r>
              <w:rPr>
                <w:rFonts w:hint="eastAsia" w:ascii="宋体" w:hAnsi="宋体" w:cs="宋体"/>
                <w:kern w:val="0"/>
                <w:sz w:val="20"/>
                <w:szCs w:val="20"/>
              </w:rPr>
              <w:t>年初预算数</w:t>
            </w:r>
          </w:p>
        </w:tc>
        <w:tc>
          <w:tcPr>
            <w:tcW w:w="1276" w:type="dxa"/>
            <w:gridSpan w:val="2"/>
            <w:shd w:val="clear" w:color="auto" w:fill="auto"/>
            <w:vAlign w:val="center"/>
          </w:tcPr>
          <w:p w14:paraId="2D29E505">
            <w:pPr>
              <w:widowControl/>
              <w:jc w:val="center"/>
              <w:rPr>
                <w:rFonts w:hint="eastAsia" w:ascii="宋体" w:hAnsi="宋体" w:cs="宋体"/>
                <w:kern w:val="0"/>
                <w:sz w:val="20"/>
                <w:szCs w:val="20"/>
              </w:rPr>
            </w:pPr>
            <w:r>
              <w:rPr>
                <w:rFonts w:hint="eastAsia" w:ascii="宋体" w:hAnsi="宋体" w:cs="宋体"/>
                <w:kern w:val="0"/>
                <w:sz w:val="20"/>
                <w:szCs w:val="20"/>
              </w:rPr>
              <w:t>全年预算数</w:t>
            </w:r>
          </w:p>
        </w:tc>
        <w:tc>
          <w:tcPr>
            <w:tcW w:w="1160" w:type="dxa"/>
            <w:shd w:val="clear" w:color="auto" w:fill="auto"/>
            <w:vAlign w:val="center"/>
          </w:tcPr>
          <w:p w14:paraId="3B43CC01">
            <w:pPr>
              <w:widowControl/>
              <w:jc w:val="center"/>
              <w:rPr>
                <w:rFonts w:hint="eastAsia" w:ascii="宋体" w:hAnsi="宋体" w:cs="宋体"/>
                <w:kern w:val="0"/>
                <w:sz w:val="20"/>
                <w:szCs w:val="20"/>
              </w:rPr>
            </w:pPr>
            <w:r>
              <w:rPr>
                <w:rFonts w:hint="eastAsia" w:ascii="宋体" w:hAnsi="宋体" w:cs="宋体"/>
                <w:kern w:val="0"/>
                <w:sz w:val="20"/>
                <w:szCs w:val="20"/>
              </w:rPr>
              <w:t>全年执行数</w:t>
            </w:r>
          </w:p>
        </w:tc>
        <w:tc>
          <w:tcPr>
            <w:tcW w:w="936" w:type="dxa"/>
            <w:gridSpan w:val="2"/>
            <w:shd w:val="clear" w:color="auto" w:fill="auto"/>
            <w:vAlign w:val="center"/>
          </w:tcPr>
          <w:p w14:paraId="32F61E60">
            <w:pPr>
              <w:widowControl/>
              <w:jc w:val="center"/>
              <w:rPr>
                <w:rFonts w:hint="eastAsia" w:ascii="宋体" w:hAnsi="宋体" w:cs="宋体"/>
                <w:kern w:val="0"/>
                <w:sz w:val="20"/>
                <w:szCs w:val="20"/>
              </w:rPr>
            </w:pPr>
            <w:r>
              <w:rPr>
                <w:rFonts w:hint="eastAsia" w:ascii="宋体" w:hAnsi="宋体" w:cs="宋体"/>
                <w:kern w:val="0"/>
                <w:sz w:val="20"/>
                <w:szCs w:val="20"/>
              </w:rPr>
              <w:t>分值权重</w:t>
            </w:r>
          </w:p>
        </w:tc>
        <w:tc>
          <w:tcPr>
            <w:tcW w:w="753" w:type="dxa"/>
            <w:shd w:val="clear" w:color="auto" w:fill="auto"/>
            <w:vAlign w:val="center"/>
          </w:tcPr>
          <w:p w14:paraId="26F824D0">
            <w:pPr>
              <w:widowControl/>
              <w:jc w:val="center"/>
              <w:rPr>
                <w:rFonts w:hint="eastAsia" w:ascii="宋体" w:hAnsi="宋体" w:cs="宋体"/>
                <w:kern w:val="0"/>
                <w:sz w:val="20"/>
                <w:szCs w:val="20"/>
              </w:rPr>
            </w:pPr>
            <w:r>
              <w:rPr>
                <w:rFonts w:hint="eastAsia" w:ascii="宋体" w:hAnsi="宋体" w:cs="宋体"/>
                <w:kern w:val="0"/>
                <w:sz w:val="20"/>
                <w:szCs w:val="20"/>
              </w:rPr>
              <w:t>执行率</w:t>
            </w:r>
          </w:p>
        </w:tc>
        <w:tc>
          <w:tcPr>
            <w:tcW w:w="603" w:type="dxa"/>
            <w:shd w:val="clear" w:color="auto" w:fill="auto"/>
            <w:vAlign w:val="center"/>
          </w:tcPr>
          <w:p w14:paraId="18A91489">
            <w:pPr>
              <w:widowControl/>
              <w:jc w:val="center"/>
              <w:rPr>
                <w:rFonts w:hint="eastAsia" w:ascii="宋体" w:hAnsi="宋体" w:cs="宋体"/>
                <w:kern w:val="0"/>
                <w:sz w:val="20"/>
                <w:szCs w:val="20"/>
              </w:rPr>
            </w:pPr>
            <w:r>
              <w:rPr>
                <w:rFonts w:hint="eastAsia" w:ascii="宋体" w:hAnsi="宋体" w:cs="宋体"/>
                <w:kern w:val="0"/>
                <w:sz w:val="20"/>
                <w:szCs w:val="20"/>
              </w:rPr>
              <w:t>得分</w:t>
            </w:r>
          </w:p>
        </w:tc>
      </w:tr>
      <w:tr w14:paraId="06111A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1315" w:type="dxa"/>
            <w:vMerge w:val="continue"/>
            <w:vAlign w:val="center"/>
          </w:tcPr>
          <w:p w14:paraId="0152A6DB">
            <w:pPr>
              <w:widowControl/>
              <w:jc w:val="left"/>
              <w:rPr>
                <w:rFonts w:hint="eastAsia" w:ascii="宋体" w:hAnsi="宋体" w:cs="宋体"/>
                <w:kern w:val="0"/>
                <w:sz w:val="20"/>
                <w:szCs w:val="20"/>
              </w:rPr>
            </w:pPr>
          </w:p>
        </w:tc>
        <w:tc>
          <w:tcPr>
            <w:tcW w:w="1378" w:type="dxa"/>
            <w:gridSpan w:val="2"/>
            <w:shd w:val="clear" w:color="auto" w:fill="auto"/>
            <w:noWrap/>
            <w:vAlign w:val="center"/>
          </w:tcPr>
          <w:p w14:paraId="5AD7D56E">
            <w:pPr>
              <w:widowControl/>
              <w:jc w:val="center"/>
              <w:rPr>
                <w:rFonts w:hint="eastAsia" w:ascii="宋体" w:hAnsi="宋体" w:cs="宋体"/>
                <w:kern w:val="0"/>
                <w:sz w:val="20"/>
                <w:szCs w:val="20"/>
              </w:rPr>
            </w:pPr>
            <w:r>
              <w:rPr>
                <w:rFonts w:hint="eastAsia" w:ascii="宋体" w:hAnsi="宋体" w:cs="宋体"/>
                <w:kern w:val="0"/>
                <w:sz w:val="20"/>
                <w:szCs w:val="20"/>
              </w:rPr>
              <w:t>中央安排</w:t>
            </w:r>
          </w:p>
        </w:tc>
        <w:tc>
          <w:tcPr>
            <w:tcW w:w="1101" w:type="dxa"/>
            <w:shd w:val="clear" w:color="auto" w:fill="auto"/>
            <w:vAlign w:val="center"/>
          </w:tcPr>
          <w:p w14:paraId="2523CDCE">
            <w:pPr>
              <w:widowControl/>
              <w:jc w:val="center"/>
              <w:rPr>
                <w:rFonts w:hint="eastAsia" w:ascii="宋体" w:hAnsi="宋体" w:cs="宋体"/>
                <w:kern w:val="0"/>
                <w:sz w:val="20"/>
                <w:szCs w:val="20"/>
              </w:rPr>
            </w:pPr>
            <w:r>
              <w:rPr>
                <w:rFonts w:hint="eastAsia" w:ascii="宋体" w:hAnsi="宋体" w:cs="宋体"/>
                <w:kern w:val="0"/>
                <w:sz w:val="20"/>
                <w:szCs w:val="20"/>
              </w:rPr>
              <w:t>60.26</w:t>
            </w:r>
          </w:p>
        </w:tc>
        <w:tc>
          <w:tcPr>
            <w:tcW w:w="1276" w:type="dxa"/>
            <w:gridSpan w:val="2"/>
            <w:shd w:val="clear" w:color="auto" w:fill="auto"/>
            <w:vAlign w:val="center"/>
          </w:tcPr>
          <w:p w14:paraId="699B2BE7">
            <w:pPr>
              <w:widowControl/>
              <w:jc w:val="center"/>
              <w:rPr>
                <w:rFonts w:hint="eastAsia" w:ascii="宋体" w:hAnsi="宋体" w:cs="宋体"/>
                <w:kern w:val="0"/>
                <w:sz w:val="20"/>
                <w:szCs w:val="20"/>
              </w:rPr>
            </w:pPr>
            <w:r>
              <w:rPr>
                <w:rFonts w:hint="eastAsia" w:ascii="宋体" w:hAnsi="宋体" w:cs="宋体"/>
                <w:kern w:val="0"/>
                <w:sz w:val="20"/>
                <w:szCs w:val="20"/>
              </w:rPr>
              <w:t>60.26</w:t>
            </w:r>
          </w:p>
        </w:tc>
        <w:tc>
          <w:tcPr>
            <w:tcW w:w="1160" w:type="dxa"/>
            <w:shd w:val="clear" w:color="auto" w:fill="auto"/>
            <w:vAlign w:val="center"/>
          </w:tcPr>
          <w:p w14:paraId="00F0357B">
            <w:pPr>
              <w:widowControl/>
              <w:jc w:val="center"/>
              <w:rPr>
                <w:rFonts w:hint="eastAsia" w:ascii="宋体" w:hAnsi="宋体" w:cs="宋体"/>
                <w:kern w:val="0"/>
                <w:sz w:val="20"/>
                <w:szCs w:val="20"/>
              </w:rPr>
            </w:pPr>
            <w:r>
              <w:rPr>
                <w:rFonts w:hint="eastAsia" w:ascii="宋体" w:hAnsi="宋体" w:cs="宋体"/>
                <w:kern w:val="0"/>
                <w:sz w:val="20"/>
                <w:szCs w:val="20"/>
              </w:rPr>
              <w:t>60.26</w:t>
            </w:r>
          </w:p>
        </w:tc>
        <w:tc>
          <w:tcPr>
            <w:tcW w:w="936" w:type="dxa"/>
            <w:gridSpan w:val="2"/>
            <w:shd w:val="clear" w:color="auto" w:fill="auto"/>
            <w:vAlign w:val="center"/>
          </w:tcPr>
          <w:p w14:paraId="1A406D21">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753" w:type="dxa"/>
            <w:shd w:val="clear" w:color="auto" w:fill="auto"/>
            <w:vAlign w:val="center"/>
          </w:tcPr>
          <w:p w14:paraId="34A73C5E">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603" w:type="dxa"/>
            <w:shd w:val="clear" w:color="auto" w:fill="auto"/>
            <w:vAlign w:val="center"/>
          </w:tcPr>
          <w:p w14:paraId="0EC3BC07">
            <w:pPr>
              <w:widowControl/>
              <w:jc w:val="center"/>
              <w:rPr>
                <w:rFonts w:hint="eastAsia" w:ascii="宋体" w:hAnsi="宋体" w:cs="宋体"/>
                <w:kern w:val="0"/>
                <w:sz w:val="20"/>
                <w:szCs w:val="20"/>
              </w:rPr>
            </w:pPr>
            <w:r>
              <w:rPr>
                <w:rFonts w:hint="eastAsia" w:ascii="宋体" w:hAnsi="宋体" w:cs="宋体"/>
                <w:kern w:val="0"/>
                <w:sz w:val="20"/>
                <w:szCs w:val="20"/>
              </w:rPr>
              <w:t>10</w:t>
            </w:r>
          </w:p>
        </w:tc>
      </w:tr>
      <w:tr w14:paraId="075139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315" w:type="dxa"/>
            <w:vMerge w:val="continue"/>
            <w:vAlign w:val="center"/>
          </w:tcPr>
          <w:p w14:paraId="59332476">
            <w:pPr>
              <w:widowControl/>
              <w:jc w:val="left"/>
              <w:rPr>
                <w:rFonts w:hint="eastAsia" w:ascii="宋体" w:hAnsi="宋体" w:cs="宋体"/>
                <w:kern w:val="0"/>
                <w:sz w:val="20"/>
                <w:szCs w:val="20"/>
              </w:rPr>
            </w:pPr>
          </w:p>
        </w:tc>
        <w:tc>
          <w:tcPr>
            <w:tcW w:w="1378" w:type="dxa"/>
            <w:gridSpan w:val="2"/>
            <w:shd w:val="clear" w:color="auto" w:fill="auto"/>
            <w:vAlign w:val="center"/>
          </w:tcPr>
          <w:p w14:paraId="1A0AB7A5">
            <w:pPr>
              <w:widowControl/>
              <w:jc w:val="center"/>
              <w:rPr>
                <w:rFonts w:hint="eastAsia" w:ascii="宋体" w:hAnsi="宋体" w:cs="宋体"/>
                <w:kern w:val="0"/>
                <w:sz w:val="20"/>
                <w:szCs w:val="20"/>
              </w:rPr>
            </w:pPr>
            <w:r>
              <w:rPr>
                <w:rFonts w:hint="eastAsia" w:ascii="宋体" w:hAnsi="宋体" w:cs="宋体"/>
                <w:kern w:val="0"/>
                <w:sz w:val="20"/>
                <w:szCs w:val="20"/>
              </w:rPr>
              <w:t>自治区安排</w:t>
            </w:r>
          </w:p>
        </w:tc>
        <w:tc>
          <w:tcPr>
            <w:tcW w:w="1101" w:type="dxa"/>
            <w:shd w:val="clear" w:color="auto" w:fill="auto"/>
            <w:vAlign w:val="center"/>
          </w:tcPr>
          <w:p w14:paraId="2833FEF9">
            <w:pPr>
              <w:widowControl/>
              <w:jc w:val="center"/>
              <w:rPr>
                <w:rFonts w:hint="eastAsia" w:ascii="宋体" w:hAnsi="宋体" w:cs="宋体"/>
                <w:kern w:val="0"/>
                <w:sz w:val="20"/>
                <w:szCs w:val="20"/>
              </w:rPr>
            </w:pPr>
            <w:r>
              <w:rPr>
                <w:rFonts w:hint="eastAsia" w:ascii="宋体" w:hAnsi="宋体" w:cs="宋体"/>
                <w:kern w:val="0"/>
                <w:sz w:val="20"/>
                <w:szCs w:val="20"/>
              </w:rPr>
              <w:t>16.55</w:t>
            </w:r>
          </w:p>
        </w:tc>
        <w:tc>
          <w:tcPr>
            <w:tcW w:w="1276" w:type="dxa"/>
            <w:gridSpan w:val="2"/>
            <w:shd w:val="clear" w:color="auto" w:fill="auto"/>
            <w:vAlign w:val="center"/>
          </w:tcPr>
          <w:p w14:paraId="6DC95B9D">
            <w:pPr>
              <w:widowControl/>
              <w:jc w:val="center"/>
              <w:rPr>
                <w:rFonts w:hint="eastAsia" w:ascii="宋体" w:hAnsi="宋体" w:cs="宋体"/>
                <w:kern w:val="0"/>
                <w:sz w:val="20"/>
                <w:szCs w:val="20"/>
              </w:rPr>
            </w:pPr>
            <w:r>
              <w:rPr>
                <w:rFonts w:hint="eastAsia" w:ascii="宋体" w:hAnsi="宋体" w:cs="宋体"/>
                <w:kern w:val="0"/>
                <w:sz w:val="20"/>
                <w:szCs w:val="20"/>
              </w:rPr>
              <w:t>16.55</w:t>
            </w:r>
          </w:p>
        </w:tc>
        <w:tc>
          <w:tcPr>
            <w:tcW w:w="1160" w:type="dxa"/>
            <w:shd w:val="clear" w:color="auto" w:fill="auto"/>
            <w:vAlign w:val="center"/>
          </w:tcPr>
          <w:p w14:paraId="60CC88F9">
            <w:pPr>
              <w:widowControl/>
              <w:jc w:val="center"/>
              <w:rPr>
                <w:rFonts w:hint="eastAsia" w:ascii="宋体" w:hAnsi="宋体" w:cs="宋体"/>
                <w:kern w:val="0"/>
                <w:sz w:val="20"/>
                <w:szCs w:val="20"/>
              </w:rPr>
            </w:pPr>
            <w:r>
              <w:rPr>
                <w:rFonts w:hint="eastAsia" w:ascii="宋体" w:hAnsi="宋体" w:cs="宋体"/>
                <w:kern w:val="0"/>
                <w:sz w:val="20"/>
                <w:szCs w:val="20"/>
              </w:rPr>
              <w:t>16.55</w:t>
            </w:r>
          </w:p>
        </w:tc>
        <w:tc>
          <w:tcPr>
            <w:tcW w:w="936" w:type="dxa"/>
            <w:gridSpan w:val="2"/>
            <w:shd w:val="clear" w:color="auto" w:fill="auto"/>
            <w:vAlign w:val="center"/>
          </w:tcPr>
          <w:p w14:paraId="21AFAAE0">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753" w:type="dxa"/>
            <w:shd w:val="clear" w:color="auto" w:fill="auto"/>
            <w:vAlign w:val="center"/>
          </w:tcPr>
          <w:p w14:paraId="6B3B14DC">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603" w:type="dxa"/>
            <w:shd w:val="clear" w:color="auto" w:fill="auto"/>
            <w:vAlign w:val="center"/>
          </w:tcPr>
          <w:p w14:paraId="549C32AF">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496051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315" w:type="dxa"/>
            <w:vMerge w:val="continue"/>
            <w:vAlign w:val="center"/>
          </w:tcPr>
          <w:p w14:paraId="521E23A5">
            <w:pPr>
              <w:widowControl/>
              <w:jc w:val="left"/>
              <w:rPr>
                <w:rFonts w:hint="eastAsia" w:ascii="宋体" w:hAnsi="宋体" w:cs="宋体"/>
                <w:kern w:val="0"/>
                <w:sz w:val="20"/>
                <w:szCs w:val="20"/>
              </w:rPr>
            </w:pPr>
          </w:p>
        </w:tc>
        <w:tc>
          <w:tcPr>
            <w:tcW w:w="1378" w:type="dxa"/>
            <w:gridSpan w:val="2"/>
            <w:shd w:val="clear" w:color="auto" w:fill="auto"/>
            <w:vAlign w:val="center"/>
          </w:tcPr>
          <w:p w14:paraId="694A5891">
            <w:pPr>
              <w:widowControl/>
              <w:jc w:val="center"/>
              <w:rPr>
                <w:rFonts w:hint="eastAsia" w:ascii="宋体" w:hAnsi="宋体" w:cs="宋体"/>
                <w:kern w:val="0"/>
                <w:sz w:val="20"/>
                <w:szCs w:val="20"/>
              </w:rPr>
            </w:pPr>
            <w:r>
              <w:rPr>
                <w:rFonts w:hint="eastAsia" w:ascii="宋体" w:hAnsi="宋体" w:cs="宋体"/>
                <w:kern w:val="0"/>
                <w:sz w:val="20"/>
                <w:szCs w:val="20"/>
              </w:rPr>
              <w:t>地（州、市）安排</w:t>
            </w:r>
          </w:p>
        </w:tc>
        <w:tc>
          <w:tcPr>
            <w:tcW w:w="1101" w:type="dxa"/>
            <w:shd w:val="clear" w:color="auto" w:fill="auto"/>
            <w:vAlign w:val="center"/>
          </w:tcPr>
          <w:p w14:paraId="64349488">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276" w:type="dxa"/>
            <w:gridSpan w:val="2"/>
            <w:shd w:val="clear" w:color="auto" w:fill="auto"/>
            <w:vAlign w:val="center"/>
          </w:tcPr>
          <w:p w14:paraId="503307C9">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160" w:type="dxa"/>
            <w:shd w:val="clear" w:color="auto" w:fill="auto"/>
            <w:vAlign w:val="center"/>
          </w:tcPr>
          <w:p w14:paraId="50BE96D1">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936" w:type="dxa"/>
            <w:gridSpan w:val="2"/>
            <w:shd w:val="clear" w:color="auto" w:fill="auto"/>
            <w:vAlign w:val="center"/>
          </w:tcPr>
          <w:p w14:paraId="3AAC9FE0">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753" w:type="dxa"/>
            <w:shd w:val="clear" w:color="auto" w:fill="auto"/>
            <w:vAlign w:val="center"/>
          </w:tcPr>
          <w:p w14:paraId="0B7E26F3">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603" w:type="dxa"/>
            <w:shd w:val="clear" w:color="auto" w:fill="auto"/>
            <w:vAlign w:val="center"/>
          </w:tcPr>
          <w:p w14:paraId="01A8F233">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5BEA6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1315" w:type="dxa"/>
            <w:vMerge w:val="continue"/>
            <w:vAlign w:val="center"/>
          </w:tcPr>
          <w:p w14:paraId="0F29B703">
            <w:pPr>
              <w:widowControl/>
              <w:jc w:val="left"/>
              <w:rPr>
                <w:rFonts w:hint="eastAsia" w:ascii="宋体" w:hAnsi="宋体" w:cs="宋体"/>
                <w:kern w:val="0"/>
                <w:sz w:val="20"/>
                <w:szCs w:val="20"/>
              </w:rPr>
            </w:pPr>
          </w:p>
        </w:tc>
        <w:tc>
          <w:tcPr>
            <w:tcW w:w="1378" w:type="dxa"/>
            <w:gridSpan w:val="2"/>
            <w:shd w:val="clear" w:color="auto" w:fill="auto"/>
            <w:vAlign w:val="center"/>
          </w:tcPr>
          <w:p w14:paraId="4E5E9B45">
            <w:pPr>
              <w:widowControl/>
              <w:jc w:val="center"/>
              <w:rPr>
                <w:rFonts w:hint="eastAsia" w:ascii="宋体" w:hAnsi="宋体" w:cs="宋体"/>
                <w:kern w:val="0"/>
                <w:sz w:val="20"/>
                <w:szCs w:val="20"/>
              </w:rPr>
            </w:pPr>
            <w:r>
              <w:rPr>
                <w:rFonts w:hint="eastAsia" w:ascii="宋体" w:hAnsi="宋体" w:cs="宋体"/>
                <w:kern w:val="0"/>
                <w:sz w:val="20"/>
                <w:szCs w:val="20"/>
              </w:rPr>
              <w:t>县（市、区）安排</w:t>
            </w:r>
          </w:p>
        </w:tc>
        <w:tc>
          <w:tcPr>
            <w:tcW w:w="1101" w:type="dxa"/>
            <w:shd w:val="clear" w:color="auto" w:fill="auto"/>
            <w:vAlign w:val="center"/>
          </w:tcPr>
          <w:p w14:paraId="1E779437">
            <w:pPr>
              <w:widowControl/>
              <w:jc w:val="center"/>
              <w:rPr>
                <w:rFonts w:hint="eastAsia" w:ascii="宋体" w:hAnsi="宋体" w:cs="宋体"/>
                <w:kern w:val="0"/>
                <w:sz w:val="20"/>
                <w:szCs w:val="20"/>
              </w:rPr>
            </w:pPr>
            <w:r>
              <w:rPr>
                <w:rFonts w:hint="eastAsia" w:ascii="宋体" w:hAnsi="宋体" w:cs="宋体"/>
                <w:kern w:val="0"/>
                <w:sz w:val="20"/>
                <w:szCs w:val="20"/>
              </w:rPr>
              <w:t>1,551.62</w:t>
            </w:r>
          </w:p>
        </w:tc>
        <w:tc>
          <w:tcPr>
            <w:tcW w:w="1276" w:type="dxa"/>
            <w:gridSpan w:val="2"/>
            <w:shd w:val="clear" w:color="auto" w:fill="auto"/>
            <w:vAlign w:val="center"/>
          </w:tcPr>
          <w:p w14:paraId="6C7DB5E7">
            <w:pPr>
              <w:widowControl/>
              <w:jc w:val="center"/>
              <w:rPr>
                <w:rFonts w:hint="eastAsia" w:ascii="宋体" w:hAnsi="宋体" w:cs="宋体"/>
                <w:kern w:val="0"/>
                <w:sz w:val="20"/>
                <w:szCs w:val="20"/>
              </w:rPr>
            </w:pPr>
            <w:r>
              <w:rPr>
                <w:rFonts w:ascii="宋体" w:hAnsi="宋体" w:cs="宋体"/>
                <w:kern w:val="0"/>
                <w:sz w:val="20"/>
                <w:szCs w:val="20"/>
              </w:rPr>
              <w:t xml:space="preserve">1,586.34 </w:t>
            </w:r>
          </w:p>
        </w:tc>
        <w:tc>
          <w:tcPr>
            <w:tcW w:w="1160" w:type="dxa"/>
            <w:shd w:val="clear" w:color="auto" w:fill="auto"/>
            <w:vAlign w:val="center"/>
          </w:tcPr>
          <w:p w14:paraId="2DB85A67">
            <w:pPr>
              <w:widowControl/>
              <w:jc w:val="center"/>
              <w:rPr>
                <w:rFonts w:hint="eastAsia" w:ascii="宋体" w:hAnsi="宋体" w:cs="宋体"/>
                <w:kern w:val="0"/>
                <w:sz w:val="20"/>
                <w:szCs w:val="20"/>
              </w:rPr>
            </w:pPr>
            <w:r>
              <w:rPr>
                <w:rFonts w:ascii="宋体" w:hAnsi="宋体" w:cs="宋体"/>
                <w:kern w:val="0"/>
                <w:sz w:val="20"/>
                <w:szCs w:val="20"/>
              </w:rPr>
              <w:t xml:space="preserve">1,583.07 </w:t>
            </w:r>
          </w:p>
        </w:tc>
        <w:tc>
          <w:tcPr>
            <w:tcW w:w="936" w:type="dxa"/>
            <w:gridSpan w:val="2"/>
            <w:shd w:val="clear" w:color="auto" w:fill="auto"/>
            <w:vAlign w:val="center"/>
          </w:tcPr>
          <w:p w14:paraId="1470E216">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753" w:type="dxa"/>
            <w:shd w:val="clear" w:color="auto" w:fill="auto"/>
            <w:vAlign w:val="center"/>
          </w:tcPr>
          <w:p w14:paraId="499E101A">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603" w:type="dxa"/>
            <w:shd w:val="clear" w:color="auto" w:fill="auto"/>
            <w:vAlign w:val="center"/>
          </w:tcPr>
          <w:p w14:paraId="4FDC926E">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076DC8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1315" w:type="dxa"/>
            <w:vMerge w:val="continue"/>
            <w:vAlign w:val="center"/>
          </w:tcPr>
          <w:p w14:paraId="4BCE5199">
            <w:pPr>
              <w:widowControl/>
              <w:jc w:val="left"/>
              <w:rPr>
                <w:rFonts w:hint="eastAsia" w:ascii="宋体" w:hAnsi="宋体" w:cs="宋体"/>
                <w:kern w:val="0"/>
                <w:sz w:val="20"/>
                <w:szCs w:val="20"/>
              </w:rPr>
            </w:pPr>
          </w:p>
        </w:tc>
        <w:tc>
          <w:tcPr>
            <w:tcW w:w="1378" w:type="dxa"/>
            <w:gridSpan w:val="2"/>
            <w:shd w:val="clear" w:color="auto" w:fill="auto"/>
            <w:vAlign w:val="center"/>
          </w:tcPr>
          <w:p w14:paraId="451D388B">
            <w:pPr>
              <w:widowControl/>
              <w:jc w:val="center"/>
              <w:rPr>
                <w:rFonts w:hint="eastAsia" w:ascii="宋体" w:hAnsi="宋体" w:cs="宋体"/>
                <w:kern w:val="0"/>
                <w:sz w:val="20"/>
                <w:szCs w:val="20"/>
              </w:rPr>
            </w:pPr>
            <w:r>
              <w:rPr>
                <w:rFonts w:hint="eastAsia" w:ascii="宋体" w:hAnsi="宋体" w:cs="宋体"/>
                <w:kern w:val="0"/>
                <w:sz w:val="20"/>
                <w:szCs w:val="20"/>
              </w:rPr>
              <w:t>其他资金</w:t>
            </w:r>
          </w:p>
        </w:tc>
        <w:tc>
          <w:tcPr>
            <w:tcW w:w="1101" w:type="dxa"/>
            <w:shd w:val="clear" w:color="auto" w:fill="auto"/>
            <w:vAlign w:val="center"/>
          </w:tcPr>
          <w:p w14:paraId="0D0EFDCC">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276" w:type="dxa"/>
            <w:gridSpan w:val="2"/>
            <w:shd w:val="clear" w:color="auto" w:fill="auto"/>
            <w:vAlign w:val="center"/>
          </w:tcPr>
          <w:p w14:paraId="132B31A9">
            <w:pPr>
              <w:widowControl/>
              <w:jc w:val="center"/>
              <w:rPr>
                <w:rFonts w:hint="eastAsia" w:ascii="宋体" w:hAnsi="宋体" w:cs="宋体"/>
                <w:kern w:val="0"/>
                <w:sz w:val="20"/>
                <w:szCs w:val="20"/>
              </w:rPr>
            </w:pPr>
            <w:r>
              <w:rPr>
                <w:rFonts w:hint="eastAsia" w:ascii="宋体" w:hAnsi="宋体" w:cs="宋体"/>
                <w:kern w:val="0"/>
                <w:sz w:val="20"/>
                <w:szCs w:val="20"/>
              </w:rPr>
              <w:t>150.68</w:t>
            </w:r>
          </w:p>
        </w:tc>
        <w:tc>
          <w:tcPr>
            <w:tcW w:w="1160" w:type="dxa"/>
            <w:shd w:val="clear" w:color="auto" w:fill="auto"/>
            <w:vAlign w:val="center"/>
          </w:tcPr>
          <w:p w14:paraId="7B1CDCDC">
            <w:pPr>
              <w:widowControl/>
              <w:jc w:val="center"/>
              <w:rPr>
                <w:rFonts w:hint="eastAsia" w:ascii="宋体" w:hAnsi="宋体" w:cs="宋体"/>
                <w:kern w:val="0"/>
                <w:sz w:val="20"/>
                <w:szCs w:val="20"/>
              </w:rPr>
            </w:pPr>
            <w:r>
              <w:rPr>
                <w:rFonts w:hint="eastAsia" w:ascii="宋体" w:hAnsi="宋体" w:cs="宋体"/>
                <w:kern w:val="0"/>
                <w:sz w:val="20"/>
                <w:szCs w:val="20"/>
              </w:rPr>
              <w:t>150.68</w:t>
            </w:r>
          </w:p>
        </w:tc>
        <w:tc>
          <w:tcPr>
            <w:tcW w:w="936" w:type="dxa"/>
            <w:gridSpan w:val="2"/>
            <w:shd w:val="clear" w:color="auto" w:fill="auto"/>
            <w:vAlign w:val="center"/>
          </w:tcPr>
          <w:p w14:paraId="1D51D42B">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753" w:type="dxa"/>
            <w:shd w:val="clear" w:color="auto" w:fill="auto"/>
            <w:vAlign w:val="center"/>
          </w:tcPr>
          <w:p w14:paraId="67452CFE">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603" w:type="dxa"/>
            <w:shd w:val="clear" w:color="auto" w:fill="auto"/>
            <w:vAlign w:val="center"/>
          </w:tcPr>
          <w:p w14:paraId="63DBEF07">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10A1DD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1315" w:type="dxa"/>
            <w:vMerge w:val="continue"/>
            <w:vAlign w:val="center"/>
          </w:tcPr>
          <w:p w14:paraId="19BDDBA3">
            <w:pPr>
              <w:widowControl/>
              <w:jc w:val="left"/>
              <w:rPr>
                <w:rFonts w:hint="eastAsia" w:ascii="宋体" w:hAnsi="宋体" w:cs="宋体"/>
                <w:kern w:val="0"/>
                <w:sz w:val="20"/>
                <w:szCs w:val="20"/>
              </w:rPr>
            </w:pPr>
          </w:p>
        </w:tc>
        <w:tc>
          <w:tcPr>
            <w:tcW w:w="1378" w:type="dxa"/>
            <w:gridSpan w:val="2"/>
            <w:shd w:val="clear" w:color="auto" w:fill="auto"/>
            <w:vAlign w:val="center"/>
          </w:tcPr>
          <w:p w14:paraId="239FAA4C">
            <w:pPr>
              <w:widowControl/>
              <w:jc w:val="center"/>
              <w:rPr>
                <w:rFonts w:hint="eastAsia" w:ascii="宋体" w:hAnsi="宋体" w:cs="宋体"/>
                <w:kern w:val="0"/>
                <w:sz w:val="20"/>
                <w:szCs w:val="20"/>
              </w:rPr>
            </w:pPr>
            <w:r>
              <w:rPr>
                <w:rFonts w:hint="eastAsia" w:ascii="宋体" w:hAnsi="宋体" w:cs="宋体"/>
                <w:kern w:val="0"/>
                <w:sz w:val="20"/>
                <w:szCs w:val="20"/>
              </w:rPr>
              <w:t>合计</w:t>
            </w:r>
          </w:p>
        </w:tc>
        <w:tc>
          <w:tcPr>
            <w:tcW w:w="1101" w:type="dxa"/>
            <w:shd w:val="clear" w:color="auto" w:fill="auto"/>
            <w:vAlign w:val="center"/>
          </w:tcPr>
          <w:p w14:paraId="3F54F449">
            <w:pPr>
              <w:widowControl/>
              <w:jc w:val="center"/>
              <w:rPr>
                <w:rFonts w:hint="eastAsia" w:ascii="宋体" w:hAnsi="宋体" w:cs="宋体"/>
                <w:kern w:val="0"/>
                <w:sz w:val="20"/>
                <w:szCs w:val="20"/>
              </w:rPr>
            </w:pPr>
            <w:r>
              <w:rPr>
                <w:rFonts w:hint="eastAsia" w:ascii="宋体" w:hAnsi="宋体" w:cs="宋体"/>
                <w:kern w:val="0"/>
                <w:sz w:val="20"/>
                <w:szCs w:val="20"/>
              </w:rPr>
              <w:t>1,628.43</w:t>
            </w:r>
          </w:p>
        </w:tc>
        <w:tc>
          <w:tcPr>
            <w:tcW w:w="1276" w:type="dxa"/>
            <w:gridSpan w:val="2"/>
            <w:shd w:val="clear" w:color="auto" w:fill="auto"/>
          </w:tcPr>
          <w:p w14:paraId="392C63B8">
            <w:pPr>
              <w:widowControl/>
              <w:jc w:val="center"/>
              <w:rPr>
                <w:rFonts w:hint="eastAsia" w:ascii="宋体" w:hAnsi="宋体" w:cs="宋体"/>
                <w:kern w:val="0"/>
                <w:sz w:val="20"/>
                <w:szCs w:val="20"/>
              </w:rPr>
            </w:pPr>
            <w:r>
              <w:rPr>
                <w:rFonts w:ascii="宋体" w:hAnsi="宋体" w:cs="宋体"/>
                <w:kern w:val="0"/>
                <w:sz w:val="20"/>
                <w:szCs w:val="20"/>
              </w:rPr>
              <w:t>1,813.83</w:t>
            </w:r>
          </w:p>
        </w:tc>
        <w:tc>
          <w:tcPr>
            <w:tcW w:w="1160" w:type="dxa"/>
            <w:shd w:val="clear" w:color="auto" w:fill="auto"/>
          </w:tcPr>
          <w:p w14:paraId="76FA6374">
            <w:pPr>
              <w:widowControl/>
              <w:jc w:val="center"/>
              <w:rPr>
                <w:rFonts w:hint="eastAsia" w:ascii="宋体" w:hAnsi="宋体" w:cs="宋体"/>
                <w:kern w:val="0"/>
                <w:sz w:val="20"/>
                <w:szCs w:val="20"/>
              </w:rPr>
            </w:pPr>
            <w:r>
              <w:rPr>
                <w:rFonts w:ascii="宋体" w:hAnsi="宋体" w:cs="宋体"/>
                <w:kern w:val="0"/>
                <w:sz w:val="20"/>
                <w:szCs w:val="20"/>
              </w:rPr>
              <w:t>1,810.56</w:t>
            </w:r>
          </w:p>
        </w:tc>
        <w:tc>
          <w:tcPr>
            <w:tcW w:w="936" w:type="dxa"/>
            <w:gridSpan w:val="2"/>
            <w:shd w:val="clear" w:color="auto" w:fill="auto"/>
            <w:vAlign w:val="center"/>
          </w:tcPr>
          <w:p w14:paraId="7EC662A1">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753" w:type="dxa"/>
            <w:shd w:val="clear" w:color="auto" w:fill="auto"/>
            <w:vAlign w:val="center"/>
          </w:tcPr>
          <w:p w14:paraId="1BC2C6AF">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603" w:type="dxa"/>
            <w:shd w:val="clear" w:color="auto" w:fill="auto"/>
            <w:vAlign w:val="center"/>
          </w:tcPr>
          <w:p w14:paraId="1A4CD55C">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58DA6F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1315" w:type="dxa"/>
            <w:vMerge w:val="restart"/>
            <w:shd w:val="clear" w:color="auto" w:fill="auto"/>
            <w:vAlign w:val="center"/>
          </w:tcPr>
          <w:p w14:paraId="2CB0B364">
            <w:pPr>
              <w:widowControl/>
              <w:jc w:val="center"/>
              <w:rPr>
                <w:rFonts w:hint="eastAsia" w:ascii="宋体" w:hAnsi="宋体" w:cs="宋体"/>
                <w:kern w:val="0"/>
                <w:sz w:val="20"/>
                <w:szCs w:val="20"/>
              </w:rPr>
            </w:pPr>
            <w:r>
              <w:rPr>
                <w:rFonts w:hint="eastAsia" w:ascii="宋体" w:hAnsi="宋体" w:cs="宋体"/>
                <w:kern w:val="0"/>
                <w:sz w:val="20"/>
                <w:szCs w:val="20"/>
              </w:rPr>
              <w:t>年度总体目标</w:t>
            </w:r>
          </w:p>
        </w:tc>
        <w:tc>
          <w:tcPr>
            <w:tcW w:w="3755" w:type="dxa"/>
            <w:gridSpan w:val="5"/>
            <w:shd w:val="clear" w:color="auto" w:fill="auto"/>
            <w:noWrap/>
            <w:vAlign w:val="center"/>
          </w:tcPr>
          <w:p w14:paraId="11DEDB72">
            <w:pPr>
              <w:widowControl/>
              <w:jc w:val="center"/>
              <w:rPr>
                <w:rFonts w:hint="eastAsia" w:ascii="宋体" w:hAnsi="宋体" w:cs="宋体"/>
                <w:kern w:val="0"/>
                <w:sz w:val="20"/>
                <w:szCs w:val="20"/>
              </w:rPr>
            </w:pPr>
            <w:r>
              <w:rPr>
                <w:rFonts w:hint="eastAsia" w:ascii="宋体" w:hAnsi="宋体" w:cs="宋体"/>
                <w:kern w:val="0"/>
                <w:sz w:val="20"/>
                <w:szCs w:val="20"/>
              </w:rPr>
              <w:t>预期目标</w:t>
            </w:r>
          </w:p>
        </w:tc>
        <w:tc>
          <w:tcPr>
            <w:tcW w:w="3452" w:type="dxa"/>
            <w:gridSpan w:val="5"/>
            <w:shd w:val="clear" w:color="auto" w:fill="auto"/>
            <w:noWrap/>
            <w:vAlign w:val="center"/>
          </w:tcPr>
          <w:p w14:paraId="2D956F45">
            <w:pPr>
              <w:widowControl/>
              <w:jc w:val="center"/>
              <w:rPr>
                <w:rFonts w:hint="eastAsia" w:ascii="宋体" w:hAnsi="宋体" w:cs="宋体"/>
                <w:kern w:val="0"/>
                <w:sz w:val="20"/>
                <w:szCs w:val="20"/>
              </w:rPr>
            </w:pPr>
            <w:r>
              <w:rPr>
                <w:rFonts w:hint="eastAsia" w:ascii="宋体" w:hAnsi="宋体" w:cs="宋体"/>
                <w:kern w:val="0"/>
                <w:sz w:val="20"/>
                <w:szCs w:val="20"/>
              </w:rPr>
              <w:t>实际完成情况</w:t>
            </w:r>
          </w:p>
        </w:tc>
      </w:tr>
      <w:tr w14:paraId="1AC34D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99" w:hRule="atLeast"/>
          <w:jc w:val="center"/>
        </w:trPr>
        <w:tc>
          <w:tcPr>
            <w:tcW w:w="1315" w:type="dxa"/>
            <w:vMerge w:val="continue"/>
            <w:vAlign w:val="center"/>
          </w:tcPr>
          <w:p w14:paraId="4EE6F0C7">
            <w:pPr>
              <w:widowControl/>
              <w:jc w:val="left"/>
              <w:rPr>
                <w:rFonts w:hint="eastAsia" w:ascii="宋体" w:hAnsi="宋体" w:cs="宋体"/>
                <w:kern w:val="0"/>
                <w:sz w:val="20"/>
                <w:szCs w:val="20"/>
              </w:rPr>
            </w:pPr>
          </w:p>
        </w:tc>
        <w:tc>
          <w:tcPr>
            <w:tcW w:w="3755" w:type="dxa"/>
            <w:gridSpan w:val="5"/>
            <w:shd w:val="clear" w:color="auto" w:fill="auto"/>
            <w:vAlign w:val="center"/>
          </w:tcPr>
          <w:p w14:paraId="75668C64">
            <w:pPr>
              <w:widowControl/>
              <w:jc w:val="center"/>
              <w:rPr>
                <w:rFonts w:hint="eastAsia" w:ascii="宋体" w:hAnsi="宋体" w:cs="宋体"/>
                <w:kern w:val="0"/>
                <w:sz w:val="20"/>
                <w:szCs w:val="20"/>
              </w:rPr>
            </w:pPr>
            <w:r>
              <w:rPr>
                <w:rFonts w:hint="eastAsia" w:ascii="宋体" w:hAnsi="宋体" w:cs="宋体"/>
                <w:kern w:val="0"/>
                <w:sz w:val="20"/>
                <w:szCs w:val="20"/>
              </w:rPr>
              <w:t>目标1：宣传贯彻执行党和国家的教育方针、政策、法律法规等坚持依法执教、依法治学，贯彻执行县教育局的行政规章制度；</w:t>
            </w:r>
          </w:p>
          <w:p w14:paraId="580D65AE">
            <w:pPr>
              <w:widowControl/>
              <w:jc w:val="center"/>
              <w:rPr>
                <w:rFonts w:hint="eastAsia" w:ascii="宋体" w:hAnsi="宋体" w:cs="宋体"/>
                <w:kern w:val="0"/>
                <w:sz w:val="20"/>
                <w:szCs w:val="20"/>
              </w:rPr>
            </w:pPr>
            <w:r>
              <w:rPr>
                <w:rFonts w:hint="eastAsia" w:ascii="宋体" w:hAnsi="宋体" w:cs="宋体"/>
                <w:kern w:val="0"/>
                <w:sz w:val="20"/>
                <w:szCs w:val="20"/>
              </w:rPr>
              <w:t>目标2：组织开展本校的教育科学科研和教育教学改革，全力推进素质教育实施；</w:t>
            </w:r>
          </w:p>
          <w:p w14:paraId="0CAFD252">
            <w:pPr>
              <w:widowControl/>
              <w:jc w:val="center"/>
              <w:rPr>
                <w:rFonts w:hint="eastAsia" w:ascii="宋体" w:hAnsi="宋体" w:cs="宋体"/>
                <w:kern w:val="0"/>
                <w:sz w:val="20"/>
                <w:szCs w:val="20"/>
              </w:rPr>
            </w:pPr>
            <w:r>
              <w:rPr>
                <w:rFonts w:hint="eastAsia" w:ascii="宋体" w:hAnsi="宋体" w:cs="宋体"/>
                <w:kern w:val="0"/>
                <w:sz w:val="20"/>
                <w:szCs w:val="20"/>
              </w:rPr>
              <w:t xml:space="preserve">目标3：按照义务教育课程计划，开齐课程，开足课时，认真实施小学的教育教学管理，全面推进素质教育，全面提高教育教学质量； </w:t>
            </w:r>
            <w:r>
              <w:rPr>
                <w:rFonts w:hint="eastAsia" w:ascii="宋体" w:hAnsi="宋体" w:cs="宋体"/>
                <w:kern w:val="0"/>
                <w:sz w:val="20"/>
                <w:szCs w:val="20"/>
              </w:rPr>
              <w:br w:type="textWrapping"/>
            </w:r>
            <w:r>
              <w:rPr>
                <w:rFonts w:hint="eastAsia" w:ascii="宋体" w:hAnsi="宋体" w:cs="宋体"/>
                <w:kern w:val="0"/>
                <w:sz w:val="20"/>
                <w:szCs w:val="20"/>
              </w:rPr>
              <w:t>目标4：负责本校财务管理，筹措资金，改善办学条件等工作。</w:t>
            </w:r>
          </w:p>
        </w:tc>
        <w:tc>
          <w:tcPr>
            <w:tcW w:w="3452" w:type="dxa"/>
            <w:gridSpan w:val="5"/>
            <w:shd w:val="clear" w:color="auto" w:fill="auto"/>
            <w:vAlign w:val="center"/>
          </w:tcPr>
          <w:p w14:paraId="502446F7">
            <w:pPr>
              <w:widowControl/>
              <w:jc w:val="center"/>
              <w:rPr>
                <w:rFonts w:hint="eastAsia" w:ascii="宋体" w:hAnsi="宋体" w:cs="宋体"/>
                <w:kern w:val="0"/>
                <w:sz w:val="20"/>
                <w:szCs w:val="20"/>
              </w:rPr>
            </w:pPr>
            <w:r>
              <w:rPr>
                <w:rFonts w:hint="eastAsia" w:ascii="宋体" w:hAnsi="宋体" w:cs="宋体"/>
                <w:kern w:val="0"/>
                <w:sz w:val="20"/>
                <w:szCs w:val="20"/>
              </w:rPr>
              <w:t>截至2023年12月31日，本单位已完成保障办公人员数量86人，资助学生人数大于等于240人，开展教师培训数量大于等于4次，控辍保学率小于等于0%，助学金发放及时率100%，各类培训及学习次数大于等于22次，各类考试完成及时率100%，师生满意度大于等于95%。</w:t>
            </w:r>
          </w:p>
        </w:tc>
      </w:tr>
      <w:tr w14:paraId="08013C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jc w:val="center"/>
        </w:trPr>
        <w:tc>
          <w:tcPr>
            <w:tcW w:w="1315" w:type="dxa"/>
            <w:shd w:val="clear" w:color="auto" w:fill="auto"/>
            <w:vAlign w:val="center"/>
          </w:tcPr>
          <w:p w14:paraId="51900DB3">
            <w:pPr>
              <w:widowControl/>
              <w:jc w:val="center"/>
              <w:rPr>
                <w:rFonts w:hint="eastAsia" w:ascii="宋体" w:hAnsi="宋体" w:cs="宋体"/>
                <w:kern w:val="0"/>
                <w:sz w:val="20"/>
                <w:szCs w:val="20"/>
              </w:rPr>
            </w:pPr>
            <w:r>
              <w:rPr>
                <w:rFonts w:hint="eastAsia" w:ascii="宋体" w:hAnsi="宋体" w:cs="宋体"/>
                <w:kern w:val="0"/>
                <w:sz w:val="20"/>
                <w:szCs w:val="20"/>
              </w:rPr>
              <w:t>一级指标</w:t>
            </w:r>
          </w:p>
        </w:tc>
        <w:tc>
          <w:tcPr>
            <w:tcW w:w="983" w:type="dxa"/>
            <w:shd w:val="clear" w:color="auto" w:fill="auto"/>
            <w:vAlign w:val="center"/>
          </w:tcPr>
          <w:p w14:paraId="1E6A7F1F">
            <w:pPr>
              <w:widowControl/>
              <w:jc w:val="center"/>
              <w:rPr>
                <w:rFonts w:hint="eastAsia" w:ascii="宋体" w:hAnsi="宋体" w:cs="宋体"/>
                <w:kern w:val="0"/>
                <w:sz w:val="20"/>
                <w:szCs w:val="20"/>
              </w:rPr>
            </w:pPr>
            <w:r>
              <w:rPr>
                <w:rFonts w:hint="eastAsia" w:ascii="宋体" w:hAnsi="宋体" w:cs="宋体"/>
                <w:kern w:val="0"/>
                <w:sz w:val="20"/>
                <w:szCs w:val="20"/>
              </w:rPr>
              <w:t>二级指标</w:t>
            </w:r>
          </w:p>
        </w:tc>
        <w:tc>
          <w:tcPr>
            <w:tcW w:w="1580" w:type="dxa"/>
            <w:gridSpan w:val="3"/>
            <w:shd w:val="clear" w:color="auto" w:fill="auto"/>
            <w:vAlign w:val="center"/>
          </w:tcPr>
          <w:p w14:paraId="769B7BBC">
            <w:pPr>
              <w:widowControl/>
              <w:jc w:val="center"/>
              <w:rPr>
                <w:rFonts w:hint="eastAsia" w:ascii="宋体" w:hAnsi="宋体" w:cs="宋体"/>
                <w:kern w:val="0"/>
                <w:sz w:val="20"/>
                <w:szCs w:val="20"/>
              </w:rPr>
            </w:pPr>
            <w:r>
              <w:rPr>
                <w:rFonts w:hint="eastAsia" w:ascii="宋体" w:hAnsi="宋体" w:cs="宋体"/>
                <w:kern w:val="0"/>
                <w:sz w:val="20"/>
                <w:szCs w:val="20"/>
              </w:rPr>
              <w:t>三级指标</w:t>
            </w:r>
          </w:p>
        </w:tc>
        <w:tc>
          <w:tcPr>
            <w:tcW w:w="1192" w:type="dxa"/>
            <w:shd w:val="clear" w:color="auto" w:fill="auto"/>
            <w:vAlign w:val="center"/>
          </w:tcPr>
          <w:p w14:paraId="45E6D355">
            <w:pPr>
              <w:widowControl/>
              <w:jc w:val="center"/>
              <w:rPr>
                <w:rFonts w:hint="eastAsia" w:ascii="宋体" w:hAnsi="宋体" w:cs="宋体"/>
                <w:kern w:val="0"/>
                <w:sz w:val="20"/>
                <w:szCs w:val="20"/>
              </w:rPr>
            </w:pPr>
            <w:r>
              <w:rPr>
                <w:rFonts w:hint="eastAsia" w:ascii="宋体" w:hAnsi="宋体" w:cs="宋体"/>
                <w:kern w:val="0"/>
                <w:sz w:val="20"/>
                <w:szCs w:val="20"/>
              </w:rPr>
              <w:t>预期指标值</w:t>
            </w:r>
          </w:p>
        </w:tc>
        <w:tc>
          <w:tcPr>
            <w:tcW w:w="1449" w:type="dxa"/>
            <w:gridSpan w:val="2"/>
            <w:shd w:val="clear" w:color="auto" w:fill="auto"/>
            <w:vAlign w:val="center"/>
          </w:tcPr>
          <w:p w14:paraId="43463D6B">
            <w:pPr>
              <w:widowControl/>
              <w:jc w:val="center"/>
              <w:rPr>
                <w:rFonts w:hint="eastAsia" w:ascii="宋体" w:hAnsi="宋体" w:cs="宋体"/>
                <w:kern w:val="0"/>
                <w:sz w:val="20"/>
                <w:szCs w:val="20"/>
              </w:rPr>
            </w:pPr>
            <w:r>
              <w:rPr>
                <w:rFonts w:hint="eastAsia" w:ascii="宋体" w:hAnsi="宋体" w:cs="宋体"/>
                <w:kern w:val="0"/>
                <w:sz w:val="20"/>
                <w:szCs w:val="20"/>
              </w:rPr>
              <w:t>指标值设定依据</w:t>
            </w:r>
          </w:p>
        </w:tc>
        <w:tc>
          <w:tcPr>
            <w:tcW w:w="647" w:type="dxa"/>
            <w:shd w:val="clear" w:color="auto" w:fill="auto"/>
            <w:vAlign w:val="center"/>
          </w:tcPr>
          <w:p w14:paraId="78AF0E08">
            <w:pPr>
              <w:widowControl/>
              <w:jc w:val="center"/>
              <w:rPr>
                <w:rFonts w:hint="eastAsia" w:ascii="宋体" w:hAnsi="宋体" w:cs="宋体"/>
                <w:kern w:val="0"/>
                <w:sz w:val="20"/>
                <w:szCs w:val="20"/>
              </w:rPr>
            </w:pPr>
            <w:r>
              <w:rPr>
                <w:rFonts w:hint="eastAsia" w:ascii="宋体" w:hAnsi="宋体" w:cs="宋体"/>
                <w:kern w:val="0"/>
                <w:sz w:val="20"/>
                <w:szCs w:val="20"/>
              </w:rPr>
              <w:t>分值权重</w:t>
            </w:r>
          </w:p>
        </w:tc>
        <w:tc>
          <w:tcPr>
            <w:tcW w:w="753" w:type="dxa"/>
            <w:shd w:val="clear" w:color="auto" w:fill="auto"/>
            <w:vAlign w:val="center"/>
          </w:tcPr>
          <w:p w14:paraId="6EBA32C7">
            <w:pPr>
              <w:widowControl/>
              <w:jc w:val="center"/>
              <w:rPr>
                <w:rFonts w:hint="eastAsia" w:ascii="宋体" w:hAnsi="宋体" w:cs="宋体"/>
                <w:kern w:val="0"/>
                <w:sz w:val="20"/>
                <w:szCs w:val="20"/>
              </w:rPr>
            </w:pPr>
            <w:r>
              <w:rPr>
                <w:rFonts w:hint="eastAsia" w:ascii="宋体" w:hAnsi="宋体" w:cs="宋体"/>
                <w:kern w:val="0"/>
                <w:sz w:val="20"/>
                <w:szCs w:val="20"/>
              </w:rPr>
              <w:t>实际完成指标值</w:t>
            </w:r>
          </w:p>
        </w:tc>
        <w:tc>
          <w:tcPr>
            <w:tcW w:w="603" w:type="dxa"/>
            <w:shd w:val="clear" w:color="auto" w:fill="auto"/>
            <w:vAlign w:val="center"/>
          </w:tcPr>
          <w:p w14:paraId="783AEF74">
            <w:pPr>
              <w:widowControl/>
              <w:jc w:val="center"/>
              <w:rPr>
                <w:rFonts w:hint="eastAsia" w:ascii="宋体" w:hAnsi="宋体" w:cs="宋体"/>
                <w:kern w:val="0"/>
                <w:sz w:val="20"/>
                <w:szCs w:val="20"/>
              </w:rPr>
            </w:pPr>
            <w:r>
              <w:rPr>
                <w:rFonts w:hint="eastAsia" w:ascii="宋体" w:hAnsi="宋体" w:cs="宋体"/>
                <w:kern w:val="0"/>
                <w:sz w:val="20"/>
                <w:szCs w:val="20"/>
              </w:rPr>
              <w:t>得分</w:t>
            </w:r>
          </w:p>
        </w:tc>
      </w:tr>
      <w:tr w14:paraId="763B9B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1315" w:type="dxa"/>
            <w:shd w:val="clear" w:color="auto" w:fill="auto"/>
            <w:vAlign w:val="center"/>
          </w:tcPr>
          <w:p w14:paraId="3276768F">
            <w:pPr>
              <w:widowControl/>
              <w:jc w:val="center"/>
              <w:rPr>
                <w:rFonts w:hint="eastAsia" w:ascii="宋体" w:hAnsi="宋体" w:cs="宋体"/>
                <w:kern w:val="0"/>
                <w:sz w:val="20"/>
                <w:szCs w:val="20"/>
              </w:rPr>
            </w:pPr>
            <w:r>
              <w:rPr>
                <w:rFonts w:hint="eastAsia" w:ascii="宋体" w:hAnsi="宋体" w:cs="宋体"/>
                <w:kern w:val="0"/>
                <w:sz w:val="20"/>
                <w:szCs w:val="20"/>
              </w:rPr>
              <w:t>运行成本</w:t>
            </w:r>
          </w:p>
        </w:tc>
        <w:tc>
          <w:tcPr>
            <w:tcW w:w="983" w:type="dxa"/>
            <w:vMerge w:val="restart"/>
            <w:shd w:val="clear" w:color="auto" w:fill="auto"/>
            <w:vAlign w:val="center"/>
          </w:tcPr>
          <w:p w14:paraId="05AF2891">
            <w:pPr>
              <w:widowControl/>
              <w:jc w:val="center"/>
              <w:rPr>
                <w:rFonts w:hint="eastAsia" w:ascii="宋体" w:hAnsi="宋体" w:cs="宋体"/>
                <w:kern w:val="0"/>
                <w:sz w:val="20"/>
                <w:szCs w:val="20"/>
              </w:rPr>
            </w:pPr>
            <w:r>
              <w:rPr>
                <w:rFonts w:hint="eastAsia" w:ascii="宋体" w:hAnsi="宋体" w:cs="宋体"/>
                <w:kern w:val="0"/>
                <w:sz w:val="20"/>
                <w:szCs w:val="20"/>
              </w:rPr>
              <w:t>数量指标</w:t>
            </w:r>
          </w:p>
        </w:tc>
        <w:tc>
          <w:tcPr>
            <w:tcW w:w="1580" w:type="dxa"/>
            <w:gridSpan w:val="3"/>
            <w:shd w:val="clear" w:color="auto" w:fill="auto"/>
            <w:vAlign w:val="center"/>
          </w:tcPr>
          <w:p w14:paraId="2BB3E345">
            <w:pPr>
              <w:widowControl/>
              <w:jc w:val="center"/>
              <w:rPr>
                <w:rFonts w:hint="eastAsia" w:ascii="宋体" w:hAnsi="宋体" w:cs="宋体"/>
                <w:kern w:val="0"/>
                <w:sz w:val="20"/>
                <w:szCs w:val="20"/>
              </w:rPr>
            </w:pPr>
            <w:r>
              <w:rPr>
                <w:rFonts w:hint="eastAsia" w:ascii="宋体" w:hAnsi="宋体" w:cs="宋体"/>
                <w:kern w:val="0"/>
                <w:sz w:val="20"/>
                <w:szCs w:val="20"/>
              </w:rPr>
              <w:t>保障办公人员数量</w:t>
            </w:r>
          </w:p>
        </w:tc>
        <w:tc>
          <w:tcPr>
            <w:tcW w:w="1192" w:type="dxa"/>
            <w:shd w:val="clear" w:color="auto" w:fill="auto"/>
            <w:vAlign w:val="center"/>
          </w:tcPr>
          <w:p w14:paraId="2F22A86E">
            <w:pPr>
              <w:widowControl/>
              <w:jc w:val="center"/>
              <w:rPr>
                <w:rFonts w:hint="eastAsia" w:ascii="宋体" w:hAnsi="宋体" w:cs="宋体"/>
                <w:kern w:val="0"/>
                <w:sz w:val="20"/>
                <w:szCs w:val="20"/>
              </w:rPr>
            </w:pPr>
            <w:r>
              <w:rPr>
                <w:rFonts w:hint="eastAsia" w:ascii="宋体" w:hAnsi="宋体" w:cs="宋体"/>
                <w:kern w:val="0"/>
                <w:sz w:val="20"/>
                <w:szCs w:val="20"/>
              </w:rPr>
              <w:t>=86人</w:t>
            </w:r>
          </w:p>
        </w:tc>
        <w:tc>
          <w:tcPr>
            <w:tcW w:w="1449" w:type="dxa"/>
            <w:gridSpan w:val="2"/>
            <w:shd w:val="clear" w:color="auto" w:fill="auto"/>
            <w:vAlign w:val="center"/>
          </w:tcPr>
          <w:p w14:paraId="5FA4600C">
            <w:pPr>
              <w:widowControl/>
              <w:jc w:val="center"/>
              <w:rPr>
                <w:rFonts w:hint="eastAsia" w:ascii="宋体" w:hAnsi="宋体" w:cs="宋体"/>
                <w:kern w:val="0"/>
                <w:sz w:val="20"/>
                <w:szCs w:val="20"/>
              </w:rPr>
            </w:pPr>
            <w:r>
              <w:rPr>
                <w:rFonts w:hint="eastAsia" w:ascii="宋体" w:hAnsi="宋体" w:cs="宋体"/>
                <w:kern w:val="0"/>
                <w:sz w:val="20"/>
                <w:szCs w:val="20"/>
              </w:rPr>
              <w:t>木垒哈萨克自治县雀仁乡中心学校机构改革方案</w:t>
            </w:r>
          </w:p>
        </w:tc>
        <w:tc>
          <w:tcPr>
            <w:tcW w:w="647" w:type="dxa"/>
            <w:shd w:val="clear" w:color="auto" w:fill="auto"/>
            <w:vAlign w:val="center"/>
          </w:tcPr>
          <w:p w14:paraId="40058F44">
            <w:pPr>
              <w:widowControl/>
              <w:jc w:val="center"/>
              <w:rPr>
                <w:rFonts w:hint="eastAsia" w:ascii="宋体" w:hAnsi="宋体" w:cs="宋体"/>
                <w:kern w:val="0"/>
                <w:sz w:val="20"/>
                <w:szCs w:val="20"/>
              </w:rPr>
            </w:pPr>
            <w:r>
              <w:rPr>
                <w:rFonts w:hint="eastAsia" w:ascii="宋体" w:hAnsi="宋体" w:cs="宋体"/>
                <w:kern w:val="0"/>
                <w:sz w:val="20"/>
                <w:szCs w:val="20"/>
              </w:rPr>
              <w:t>5</w:t>
            </w:r>
          </w:p>
        </w:tc>
        <w:tc>
          <w:tcPr>
            <w:tcW w:w="753" w:type="dxa"/>
            <w:shd w:val="clear" w:color="auto" w:fill="auto"/>
            <w:vAlign w:val="center"/>
          </w:tcPr>
          <w:p w14:paraId="3055F48D">
            <w:pPr>
              <w:widowControl/>
              <w:jc w:val="center"/>
              <w:rPr>
                <w:rFonts w:hint="eastAsia" w:ascii="宋体" w:hAnsi="宋体" w:cs="宋体"/>
                <w:kern w:val="0"/>
                <w:sz w:val="20"/>
                <w:szCs w:val="20"/>
              </w:rPr>
            </w:pPr>
            <w:r>
              <w:rPr>
                <w:rFonts w:hint="eastAsia" w:ascii="宋体" w:hAnsi="宋体" w:cs="宋体"/>
                <w:kern w:val="0"/>
                <w:sz w:val="20"/>
                <w:szCs w:val="20"/>
              </w:rPr>
              <w:t>86人</w:t>
            </w:r>
          </w:p>
        </w:tc>
        <w:tc>
          <w:tcPr>
            <w:tcW w:w="603" w:type="dxa"/>
            <w:shd w:val="clear" w:color="auto" w:fill="auto"/>
            <w:vAlign w:val="center"/>
          </w:tcPr>
          <w:p w14:paraId="6C939EAF">
            <w:pPr>
              <w:widowControl/>
              <w:jc w:val="center"/>
              <w:rPr>
                <w:rFonts w:hint="eastAsia" w:ascii="宋体" w:hAnsi="宋体" w:cs="宋体"/>
                <w:kern w:val="0"/>
                <w:sz w:val="20"/>
                <w:szCs w:val="20"/>
              </w:rPr>
            </w:pPr>
            <w:r>
              <w:rPr>
                <w:rFonts w:hint="eastAsia" w:ascii="宋体" w:hAnsi="宋体" w:cs="宋体"/>
                <w:kern w:val="0"/>
                <w:sz w:val="20"/>
                <w:szCs w:val="20"/>
              </w:rPr>
              <w:t>5</w:t>
            </w:r>
          </w:p>
        </w:tc>
      </w:tr>
      <w:tr w14:paraId="0CB02E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1315" w:type="dxa"/>
            <w:vMerge w:val="restart"/>
            <w:shd w:val="clear" w:color="auto" w:fill="auto"/>
            <w:vAlign w:val="center"/>
          </w:tcPr>
          <w:p w14:paraId="67BB2F0E">
            <w:pPr>
              <w:widowControl/>
              <w:jc w:val="center"/>
              <w:rPr>
                <w:rFonts w:hint="eastAsia" w:ascii="宋体" w:hAnsi="宋体" w:cs="宋体"/>
                <w:kern w:val="0"/>
                <w:sz w:val="20"/>
                <w:szCs w:val="20"/>
              </w:rPr>
            </w:pPr>
            <w:r>
              <w:rPr>
                <w:rFonts w:hint="eastAsia" w:ascii="宋体" w:hAnsi="宋体" w:cs="宋体"/>
                <w:kern w:val="0"/>
                <w:sz w:val="20"/>
                <w:szCs w:val="20"/>
              </w:rPr>
              <w:t>管理效率</w:t>
            </w:r>
          </w:p>
        </w:tc>
        <w:tc>
          <w:tcPr>
            <w:tcW w:w="983" w:type="dxa"/>
            <w:vMerge w:val="continue"/>
            <w:vAlign w:val="center"/>
          </w:tcPr>
          <w:p w14:paraId="130925D9">
            <w:pPr>
              <w:widowControl/>
              <w:jc w:val="left"/>
              <w:rPr>
                <w:rFonts w:hint="eastAsia" w:ascii="宋体" w:hAnsi="宋体" w:cs="宋体"/>
                <w:kern w:val="0"/>
                <w:sz w:val="20"/>
                <w:szCs w:val="20"/>
              </w:rPr>
            </w:pPr>
          </w:p>
        </w:tc>
        <w:tc>
          <w:tcPr>
            <w:tcW w:w="1580" w:type="dxa"/>
            <w:gridSpan w:val="3"/>
            <w:shd w:val="clear" w:color="auto" w:fill="auto"/>
            <w:vAlign w:val="center"/>
          </w:tcPr>
          <w:p w14:paraId="60FDAFAD">
            <w:pPr>
              <w:widowControl/>
              <w:jc w:val="center"/>
              <w:rPr>
                <w:rFonts w:hint="eastAsia" w:ascii="宋体" w:hAnsi="宋体" w:cs="宋体"/>
                <w:kern w:val="0"/>
                <w:sz w:val="20"/>
                <w:szCs w:val="20"/>
              </w:rPr>
            </w:pPr>
            <w:r>
              <w:rPr>
                <w:rFonts w:hint="eastAsia" w:ascii="宋体" w:hAnsi="宋体" w:cs="宋体"/>
                <w:kern w:val="0"/>
                <w:sz w:val="20"/>
                <w:szCs w:val="20"/>
              </w:rPr>
              <w:t>资助学生人数</w:t>
            </w:r>
          </w:p>
        </w:tc>
        <w:tc>
          <w:tcPr>
            <w:tcW w:w="1192" w:type="dxa"/>
            <w:shd w:val="clear" w:color="auto" w:fill="auto"/>
            <w:vAlign w:val="center"/>
          </w:tcPr>
          <w:p w14:paraId="7F496260">
            <w:pPr>
              <w:widowControl/>
              <w:jc w:val="center"/>
              <w:rPr>
                <w:rFonts w:hint="eastAsia" w:ascii="宋体" w:hAnsi="宋体" w:cs="宋体"/>
                <w:kern w:val="0"/>
                <w:sz w:val="20"/>
                <w:szCs w:val="20"/>
              </w:rPr>
            </w:pPr>
            <w:r>
              <w:rPr>
                <w:rFonts w:hint="eastAsia" w:ascii="宋体" w:hAnsi="宋体" w:cs="宋体"/>
                <w:kern w:val="0"/>
                <w:sz w:val="20"/>
                <w:szCs w:val="20"/>
              </w:rPr>
              <w:t>&gt;=240人</w:t>
            </w:r>
          </w:p>
        </w:tc>
        <w:tc>
          <w:tcPr>
            <w:tcW w:w="1449" w:type="dxa"/>
            <w:gridSpan w:val="2"/>
            <w:shd w:val="clear" w:color="auto" w:fill="auto"/>
            <w:vAlign w:val="center"/>
          </w:tcPr>
          <w:p w14:paraId="3D4FF79C">
            <w:pPr>
              <w:widowControl/>
              <w:jc w:val="center"/>
              <w:rPr>
                <w:rFonts w:hint="eastAsia" w:ascii="宋体" w:hAnsi="宋体" w:cs="宋体"/>
                <w:kern w:val="0"/>
                <w:sz w:val="20"/>
                <w:szCs w:val="20"/>
              </w:rPr>
            </w:pPr>
            <w:r>
              <w:rPr>
                <w:rFonts w:hint="eastAsia" w:ascii="宋体" w:hAnsi="宋体" w:cs="宋体"/>
                <w:kern w:val="0"/>
                <w:sz w:val="20"/>
                <w:szCs w:val="20"/>
              </w:rPr>
              <w:t>木垒县雀仁乡中心学校2023年工作计划</w:t>
            </w:r>
          </w:p>
        </w:tc>
        <w:tc>
          <w:tcPr>
            <w:tcW w:w="647" w:type="dxa"/>
            <w:shd w:val="clear" w:color="auto" w:fill="auto"/>
            <w:vAlign w:val="center"/>
          </w:tcPr>
          <w:p w14:paraId="3FDAE387">
            <w:pPr>
              <w:widowControl/>
              <w:jc w:val="center"/>
              <w:rPr>
                <w:rFonts w:hint="eastAsia" w:ascii="宋体" w:hAnsi="宋体" w:cs="宋体"/>
                <w:kern w:val="0"/>
                <w:sz w:val="20"/>
                <w:szCs w:val="20"/>
              </w:rPr>
            </w:pPr>
            <w:r>
              <w:rPr>
                <w:rFonts w:hint="eastAsia" w:ascii="宋体" w:hAnsi="宋体" w:cs="宋体"/>
                <w:kern w:val="0"/>
                <w:sz w:val="20"/>
                <w:szCs w:val="20"/>
              </w:rPr>
              <w:t>5</w:t>
            </w:r>
          </w:p>
        </w:tc>
        <w:tc>
          <w:tcPr>
            <w:tcW w:w="753" w:type="dxa"/>
            <w:shd w:val="clear" w:color="auto" w:fill="auto"/>
            <w:vAlign w:val="center"/>
          </w:tcPr>
          <w:p w14:paraId="4B57934D">
            <w:pPr>
              <w:widowControl/>
              <w:jc w:val="center"/>
              <w:rPr>
                <w:rFonts w:hint="eastAsia" w:ascii="宋体" w:hAnsi="宋体" w:cs="宋体"/>
                <w:kern w:val="0"/>
                <w:sz w:val="20"/>
                <w:szCs w:val="20"/>
              </w:rPr>
            </w:pPr>
            <w:r>
              <w:rPr>
                <w:rFonts w:hint="eastAsia" w:ascii="宋体" w:hAnsi="宋体" w:cs="宋体"/>
                <w:kern w:val="0"/>
                <w:sz w:val="20"/>
                <w:szCs w:val="20"/>
              </w:rPr>
              <w:t>240人</w:t>
            </w:r>
          </w:p>
        </w:tc>
        <w:tc>
          <w:tcPr>
            <w:tcW w:w="603" w:type="dxa"/>
            <w:shd w:val="clear" w:color="auto" w:fill="auto"/>
            <w:vAlign w:val="center"/>
          </w:tcPr>
          <w:p w14:paraId="79BAC1F8">
            <w:pPr>
              <w:widowControl/>
              <w:jc w:val="center"/>
              <w:rPr>
                <w:rFonts w:hint="eastAsia" w:ascii="宋体" w:hAnsi="宋体" w:cs="宋体"/>
                <w:kern w:val="0"/>
                <w:sz w:val="20"/>
                <w:szCs w:val="20"/>
              </w:rPr>
            </w:pPr>
            <w:r>
              <w:rPr>
                <w:rFonts w:hint="eastAsia" w:ascii="宋体" w:hAnsi="宋体" w:cs="宋体"/>
                <w:kern w:val="0"/>
                <w:sz w:val="20"/>
                <w:szCs w:val="20"/>
              </w:rPr>
              <w:t>5</w:t>
            </w:r>
          </w:p>
        </w:tc>
      </w:tr>
      <w:tr w14:paraId="2298E3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1315" w:type="dxa"/>
            <w:vMerge w:val="continue"/>
            <w:vAlign w:val="center"/>
          </w:tcPr>
          <w:p w14:paraId="5DF48B16">
            <w:pPr>
              <w:widowControl/>
              <w:jc w:val="left"/>
              <w:rPr>
                <w:rFonts w:hint="eastAsia" w:ascii="宋体" w:hAnsi="宋体" w:cs="宋体"/>
                <w:kern w:val="0"/>
                <w:sz w:val="20"/>
                <w:szCs w:val="20"/>
              </w:rPr>
            </w:pPr>
          </w:p>
        </w:tc>
        <w:tc>
          <w:tcPr>
            <w:tcW w:w="983" w:type="dxa"/>
            <w:vMerge w:val="continue"/>
            <w:vAlign w:val="center"/>
          </w:tcPr>
          <w:p w14:paraId="0988B9BD">
            <w:pPr>
              <w:widowControl/>
              <w:jc w:val="left"/>
              <w:rPr>
                <w:rFonts w:hint="eastAsia" w:ascii="宋体" w:hAnsi="宋体" w:cs="宋体"/>
                <w:kern w:val="0"/>
                <w:sz w:val="20"/>
                <w:szCs w:val="20"/>
              </w:rPr>
            </w:pPr>
          </w:p>
        </w:tc>
        <w:tc>
          <w:tcPr>
            <w:tcW w:w="1580" w:type="dxa"/>
            <w:gridSpan w:val="3"/>
            <w:shd w:val="clear" w:color="auto" w:fill="auto"/>
            <w:vAlign w:val="center"/>
          </w:tcPr>
          <w:p w14:paraId="5D4A4CF8">
            <w:pPr>
              <w:widowControl/>
              <w:jc w:val="center"/>
              <w:rPr>
                <w:rFonts w:hint="eastAsia" w:ascii="宋体" w:hAnsi="宋体" w:cs="宋体"/>
                <w:kern w:val="0"/>
                <w:sz w:val="20"/>
                <w:szCs w:val="20"/>
              </w:rPr>
            </w:pPr>
            <w:r>
              <w:rPr>
                <w:rFonts w:hint="eastAsia" w:ascii="宋体" w:hAnsi="宋体" w:cs="宋体"/>
                <w:kern w:val="0"/>
                <w:sz w:val="20"/>
                <w:szCs w:val="20"/>
              </w:rPr>
              <w:t>开展教师培训数量</w:t>
            </w:r>
          </w:p>
        </w:tc>
        <w:tc>
          <w:tcPr>
            <w:tcW w:w="1192" w:type="dxa"/>
            <w:shd w:val="clear" w:color="auto" w:fill="auto"/>
            <w:vAlign w:val="center"/>
          </w:tcPr>
          <w:p w14:paraId="0677A09C">
            <w:pPr>
              <w:widowControl/>
              <w:jc w:val="center"/>
              <w:rPr>
                <w:rFonts w:hint="eastAsia" w:ascii="宋体" w:hAnsi="宋体" w:cs="宋体"/>
                <w:kern w:val="0"/>
                <w:sz w:val="20"/>
                <w:szCs w:val="20"/>
              </w:rPr>
            </w:pPr>
            <w:r>
              <w:rPr>
                <w:rFonts w:hint="eastAsia" w:ascii="宋体" w:hAnsi="宋体" w:cs="宋体"/>
                <w:kern w:val="0"/>
                <w:sz w:val="20"/>
                <w:szCs w:val="20"/>
              </w:rPr>
              <w:t>&gt;=4次</w:t>
            </w:r>
          </w:p>
        </w:tc>
        <w:tc>
          <w:tcPr>
            <w:tcW w:w="1449" w:type="dxa"/>
            <w:gridSpan w:val="2"/>
            <w:shd w:val="clear" w:color="auto" w:fill="auto"/>
            <w:vAlign w:val="center"/>
          </w:tcPr>
          <w:p w14:paraId="36594455">
            <w:pPr>
              <w:widowControl/>
              <w:jc w:val="center"/>
              <w:rPr>
                <w:rFonts w:hint="eastAsia" w:ascii="宋体" w:hAnsi="宋体" w:cs="宋体"/>
                <w:kern w:val="0"/>
                <w:sz w:val="20"/>
                <w:szCs w:val="20"/>
              </w:rPr>
            </w:pPr>
            <w:r>
              <w:rPr>
                <w:rFonts w:hint="eastAsia" w:ascii="宋体" w:hAnsi="宋体" w:cs="宋体"/>
                <w:kern w:val="0"/>
                <w:sz w:val="20"/>
                <w:szCs w:val="20"/>
              </w:rPr>
              <w:t>木垒县雀仁乡中心学校2023年工作计划</w:t>
            </w:r>
          </w:p>
        </w:tc>
        <w:tc>
          <w:tcPr>
            <w:tcW w:w="647" w:type="dxa"/>
            <w:shd w:val="clear" w:color="auto" w:fill="auto"/>
            <w:vAlign w:val="center"/>
          </w:tcPr>
          <w:p w14:paraId="199F4B8B">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753" w:type="dxa"/>
            <w:shd w:val="clear" w:color="auto" w:fill="auto"/>
            <w:vAlign w:val="center"/>
          </w:tcPr>
          <w:p w14:paraId="0F21E519">
            <w:pPr>
              <w:widowControl/>
              <w:jc w:val="center"/>
              <w:rPr>
                <w:rFonts w:hint="eastAsia" w:ascii="宋体" w:hAnsi="宋体" w:cs="宋体"/>
                <w:kern w:val="0"/>
                <w:sz w:val="20"/>
                <w:szCs w:val="20"/>
              </w:rPr>
            </w:pPr>
            <w:r>
              <w:rPr>
                <w:rFonts w:hint="eastAsia" w:ascii="宋体" w:hAnsi="宋体" w:cs="宋体"/>
                <w:kern w:val="0"/>
                <w:sz w:val="20"/>
                <w:szCs w:val="20"/>
              </w:rPr>
              <w:t>4次</w:t>
            </w:r>
          </w:p>
        </w:tc>
        <w:tc>
          <w:tcPr>
            <w:tcW w:w="603" w:type="dxa"/>
            <w:shd w:val="clear" w:color="auto" w:fill="auto"/>
            <w:vAlign w:val="center"/>
          </w:tcPr>
          <w:p w14:paraId="225E9C24">
            <w:pPr>
              <w:widowControl/>
              <w:jc w:val="center"/>
              <w:rPr>
                <w:rFonts w:hint="eastAsia" w:ascii="宋体" w:hAnsi="宋体" w:cs="宋体"/>
                <w:kern w:val="0"/>
                <w:sz w:val="20"/>
                <w:szCs w:val="20"/>
              </w:rPr>
            </w:pPr>
            <w:r>
              <w:rPr>
                <w:rFonts w:hint="eastAsia" w:ascii="宋体" w:hAnsi="宋体" w:cs="宋体"/>
                <w:kern w:val="0"/>
                <w:sz w:val="20"/>
                <w:szCs w:val="20"/>
              </w:rPr>
              <w:t>10</w:t>
            </w:r>
          </w:p>
        </w:tc>
      </w:tr>
      <w:tr w14:paraId="77C1B1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1315" w:type="dxa"/>
            <w:vMerge w:val="continue"/>
            <w:vAlign w:val="center"/>
          </w:tcPr>
          <w:p w14:paraId="5E5997F9">
            <w:pPr>
              <w:widowControl/>
              <w:jc w:val="left"/>
              <w:rPr>
                <w:rFonts w:hint="eastAsia" w:ascii="宋体" w:hAnsi="宋体" w:cs="宋体"/>
                <w:kern w:val="0"/>
                <w:sz w:val="20"/>
                <w:szCs w:val="20"/>
              </w:rPr>
            </w:pPr>
          </w:p>
        </w:tc>
        <w:tc>
          <w:tcPr>
            <w:tcW w:w="983" w:type="dxa"/>
            <w:shd w:val="clear" w:color="auto" w:fill="auto"/>
            <w:vAlign w:val="center"/>
          </w:tcPr>
          <w:p w14:paraId="2E282152">
            <w:pPr>
              <w:widowControl/>
              <w:jc w:val="center"/>
              <w:rPr>
                <w:rFonts w:hint="eastAsia" w:ascii="宋体" w:hAnsi="宋体" w:cs="宋体"/>
                <w:kern w:val="0"/>
                <w:sz w:val="20"/>
                <w:szCs w:val="20"/>
              </w:rPr>
            </w:pPr>
            <w:r>
              <w:rPr>
                <w:rFonts w:hint="eastAsia" w:ascii="宋体" w:hAnsi="宋体" w:cs="宋体"/>
                <w:kern w:val="0"/>
                <w:sz w:val="20"/>
                <w:szCs w:val="20"/>
              </w:rPr>
              <w:t>质量指标</w:t>
            </w:r>
          </w:p>
        </w:tc>
        <w:tc>
          <w:tcPr>
            <w:tcW w:w="1580" w:type="dxa"/>
            <w:gridSpan w:val="3"/>
            <w:shd w:val="clear" w:color="auto" w:fill="auto"/>
            <w:vAlign w:val="center"/>
          </w:tcPr>
          <w:p w14:paraId="549315EA">
            <w:pPr>
              <w:widowControl/>
              <w:jc w:val="center"/>
              <w:rPr>
                <w:rFonts w:hint="eastAsia" w:ascii="宋体" w:hAnsi="宋体" w:cs="宋体"/>
                <w:kern w:val="0"/>
                <w:sz w:val="20"/>
                <w:szCs w:val="20"/>
              </w:rPr>
            </w:pPr>
            <w:r>
              <w:rPr>
                <w:rFonts w:hint="eastAsia" w:ascii="宋体" w:hAnsi="宋体" w:cs="宋体"/>
                <w:kern w:val="0"/>
                <w:sz w:val="20"/>
                <w:szCs w:val="20"/>
              </w:rPr>
              <w:t>控辍保学率</w:t>
            </w:r>
          </w:p>
        </w:tc>
        <w:tc>
          <w:tcPr>
            <w:tcW w:w="1192" w:type="dxa"/>
            <w:shd w:val="clear" w:color="auto" w:fill="auto"/>
            <w:vAlign w:val="center"/>
          </w:tcPr>
          <w:p w14:paraId="29BC84A8">
            <w:pPr>
              <w:widowControl/>
              <w:jc w:val="center"/>
              <w:rPr>
                <w:rFonts w:hint="eastAsia" w:ascii="宋体" w:hAnsi="宋体" w:cs="宋体"/>
                <w:kern w:val="0"/>
                <w:sz w:val="20"/>
                <w:szCs w:val="20"/>
              </w:rPr>
            </w:pPr>
            <w:r>
              <w:rPr>
                <w:rFonts w:hint="eastAsia" w:ascii="宋体" w:hAnsi="宋体" w:cs="宋体"/>
                <w:kern w:val="0"/>
                <w:sz w:val="20"/>
                <w:szCs w:val="20"/>
              </w:rPr>
              <w:t>&lt;=0%</w:t>
            </w:r>
          </w:p>
        </w:tc>
        <w:tc>
          <w:tcPr>
            <w:tcW w:w="1449" w:type="dxa"/>
            <w:gridSpan w:val="2"/>
            <w:shd w:val="clear" w:color="auto" w:fill="auto"/>
            <w:vAlign w:val="center"/>
          </w:tcPr>
          <w:p w14:paraId="4039E1EB">
            <w:pPr>
              <w:widowControl/>
              <w:jc w:val="center"/>
              <w:rPr>
                <w:rFonts w:hint="eastAsia" w:ascii="宋体" w:hAnsi="宋体" w:cs="宋体"/>
                <w:kern w:val="0"/>
                <w:sz w:val="20"/>
                <w:szCs w:val="20"/>
              </w:rPr>
            </w:pPr>
            <w:r>
              <w:rPr>
                <w:rFonts w:hint="eastAsia" w:ascii="宋体" w:hAnsi="宋体" w:cs="宋体"/>
                <w:kern w:val="0"/>
                <w:sz w:val="20"/>
                <w:szCs w:val="20"/>
              </w:rPr>
              <w:t>木垒县雀仁乡中心学校2023年工作计划</w:t>
            </w:r>
          </w:p>
        </w:tc>
        <w:tc>
          <w:tcPr>
            <w:tcW w:w="647" w:type="dxa"/>
            <w:shd w:val="clear" w:color="auto" w:fill="auto"/>
            <w:vAlign w:val="center"/>
          </w:tcPr>
          <w:p w14:paraId="079CD9C1">
            <w:pPr>
              <w:widowControl/>
              <w:jc w:val="center"/>
              <w:rPr>
                <w:rFonts w:hint="eastAsia" w:ascii="宋体" w:hAnsi="宋体" w:cs="宋体"/>
                <w:kern w:val="0"/>
                <w:sz w:val="20"/>
                <w:szCs w:val="20"/>
              </w:rPr>
            </w:pPr>
            <w:r>
              <w:rPr>
                <w:rFonts w:hint="eastAsia" w:ascii="宋体" w:hAnsi="宋体" w:cs="宋体"/>
                <w:kern w:val="0"/>
                <w:sz w:val="20"/>
                <w:szCs w:val="20"/>
              </w:rPr>
              <w:t>20</w:t>
            </w:r>
          </w:p>
        </w:tc>
        <w:tc>
          <w:tcPr>
            <w:tcW w:w="753" w:type="dxa"/>
            <w:shd w:val="clear" w:color="auto" w:fill="auto"/>
            <w:vAlign w:val="center"/>
          </w:tcPr>
          <w:p w14:paraId="275A6B60">
            <w:pPr>
              <w:widowControl/>
              <w:jc w:val="center"/>
              <w:rPr>
                <w:rFonts w:hint="eastAsia" w:ascii="宋体" w:hAnsi="宋体" w:cs="宋体"/>
                <w:kern w:val="0"/>
                <w:sz w:val="20"/>
                <w:szCs w:val="20"/>
              </w:rPr>
            </w:pPr>
            <w:r>
              <w:rPr>
                <w:rFonts w:hint="eastAsia" w:ascii="宋体" w:hAnsi="宋体" w:cs="宋体"/>
                <w:kern w:val="0"/>
                <w:sz w:val="20"/>
                <w:szCs w:val="20"/>
              </w:rPr>
              <w:t>0%</w:t>
            </w:r>
          </w:p>
        </w:tc>
        <w:tc>
          <w:tcPr>
            <w:tcW w:w="603" w:type="dxa"/>
            <w:shd w:val="clear" w:color="auto" w:fill="auto"/>
            <w:vAlign w:val="center"/>
          </w:tcPr>
          <w:p w14:paraId="52D6066F">
            <w:pPr>
              <w:widowControl/>
              <w:jc w:val="center"/>
              <w:rPr>
                <w:rFonts w:hint="eastAsia" w:ascii="宋体" w:hAnsi="宋体" w:cs="宋体"/>
                <w:kern w:val="0"/>
                <w:sz w:val="20"/>
                <w:szCs w:val="20"/>
              </w:rPr>
            </w:pPr>
            <w:r>
              <w:rPr>
                <w:rFonts w:hint="eastAsia" w:ascii="宋体" w:hAnsi="宋体" w:cs="宋体"/>
                <w:kern w:val="0"/>
                <w:sz w:val="20"/>
                <w:szCs w:val="20"/>
              </w:rPr>
              <w:t>20</w:t>
            </w:r>
          </w:p>
        </w:tc>
      </w:tr>
      <w:tr w14:paraId="14CAB6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1315" w:type="dxa"/>
            <w:vMerge w:val="continue"/>
            <w:vAlign w:val="center"/>
          </w:tcPr>
          <w:p w14:paraId="5CD1F19C">
            <w:pPr>
              <w:widowControl/>
              <w:jc w:val="left"/>
              <w:rPr>
                <w:rFonts w:hint="eastAsia" w:ascii="宋体" w:hAnsi="宋体" w:cs="宋体"/>
                <w:kern w:val="0"/>
                <w:sz w:val="20"/>
                <w:szCs w:val="20"/>
              </w:rPr>
            </w:pPr>
          </w:p>
        </w:tc>
        <w:tc>
          <w:tcPr>
            <w:tcW w:w="983" w:type="dxa"/>
            <w:shd w:val="clear" w:color="auto" w:fill="auto"/>
            <w:vAlign w:val="center"/>
          </w:tcPr>
          <w:p w14:paraId="7D2EC4A9">
            <w:pPr>
              <w:widowControl/>
              <w:jc w:val="center"/>
              <w:rPr>
                <w:rFonts w:hint="eastAsia" w:ascii="宋体" w:hAnsi="宋体" w:cs="宋体"/>
                <w:kern w:val="0"/>
                <w:sz w:val="20"/>
                <w:szCs w:val="20"/>
              </w:rPr>
            </w:pPr>
            <w:r>
              <w:rPr>
                <w:rFonts w:hint="eastAsia" w:ascii="宋体" w:hAnsi="宋体" w:cs="宋体"/>
                <w:kern w:val="0"/>
                <w:sz w:val="20"/>
                <w:szCs w:val="20"/>
              </w:rPr>
              <w:t>时效指标</w:t>
            </w:r>
          </w:p>
        </w:tc>
        <w:tc>
          <w:tcPr>
            <w:tcW w:w="1580" w:type="dxa"/>
            <w:gridSpan w:val="3"/>
            <w:shd w:val="clear" w:color="auto" w:fill="auto"/>
            <w:vAlign w:val="center"/>
          </w:tcPr>
          <w:p w14:paraId="063B832E">
            <w:pPr>
              <w:widowControl/>
              <w:jc w:val="center"/>
              <w:rPr>
                <w:rFonts w:hint="eastAsia" w:ascii="宋体" w:hAnsi="宋体" w:cs="宋体"/>
                <w:kern w:val="0"/>
                <w:sz w:val="20"/>
                <w:szCs w:val="20"/>
              </w:rPr>
            </w:pPr>
            <w:r>
              <w:rPr>
                <w:rFonts w:hint="eastAsia" w:ascii="宋体" w:hAnsi="宋体" w:cs="宋体"/>
                <w:kern w:val="0"/>
                <w:sz w:val="20"/>
                <w:szCs w:val="20"/>
              </w:rPr>
              <w:t>助学金发放及时率</w:t>
            </w:r>
          </w:p>
        </w:tc>
        <w:tc>
          <w:tcPr>
            <w:tcW w:w="1192" w:type="dxa"/>
            <w:shd w:val="clear" w:color="auto" w:fill="auto"/>
            <w:vAlign w:val="center"/>
          </w:tcPr>
          <w:p w14:paraId="342431E3">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1449" w:type="dxa"/>
            <w:gridSpan w:val="2"/>
            <w:shd w:val="clear" w:color="auto" w:fill="auto"/>
            <w:vAlign w:val="center"/>
          </w:tcPr>
          <w:p w14:paraId="6B9A9174">
            <w:pPr>
              <w:widowControl/>
              <w:jc w:val="center"/>
              <w:rPr>
                <w:rFonts w:hint="eastAsia" w:ascii="宋体" w:hAnsi="宋体" w:cs="宋体"/>
                <w:kern w:val="0"/>
                <w:sz w:val="20"/>
                <w:szCs w:val="20"/>
              </w:rPr>
            </w:pPr>
            <w:r>
              <w:rPr>
                <w:rFonts w:hint="eastAsia" w:ascii="宋体" w:hAnsi="宋体" w:cs="宋体"/>
                <w:kern w:val="0"/>
                <w:sz w:val="20"/>
                <w:szCs w:val="20"/>
              </w:rPr>
              <w:t>木垒县雀仁乡中心学校2023年工作计划</w:t>
            </w:r>
          </w:p>
        </w:tc>
        <w:tc>
          <w:tcPr>
            <w:tcW w:w="647" w:type="dxa"/>
            <w:shd w:val="clear" w:color="auto" w:fill="auto"/>
            <w:vAlign w:val="center"/>
          </w:tcPr>
          <w:p w14:paraId="23CAEDA1">
            <w:pPr>
              <w:widowControl/>
              <w:jc w:val="center"/>
              <w:rPr>
                <w:rFonts w:hint="eastAsia" w:ascii="宋体" w:hAnsi="宋体" w:cs="宋体"/>
                <w:kern w:val="0"/>
                <w:sz w:val="20"/>
                <w:szCs w:val="20"/>
              </w:rPr>
            </w:pPr>
            <w:r>
              <w:rPr>
                <w:rFonts w:hint="eastAsia" w:ascii="宋体" w:hAnsi="宋体" w:cs="宋体"/>
                <w:kern w:val="0"/>
                <w:sz w:val="20"/>
                <w:szCs w:val="20"/>
              </w:rPr>
              <w:t>15</w:t>
            </w:r>
          </w:p>
        </w:tc>
        <w:tc>
          <w:tcPr>
            <w:tcW w:w="753" w:type="dxa"/>
            <w:shd w:val="clear" w:color="auto" w:fill="auto"/>
            <w:vAlign w:val="center"/>
          </w:tcPr>
          <w:p w14:paraId="3B0AEEEA">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603" w:type="dxa"/>
            <w:shd w:val="clear" w:color="auto" w:fill="auto"/>
            <w:vAlign w:val="center"/>
          </w:tcPr>
          <w:p w14:paraId="2D7C4E0B">
            <w:pPr>
              <w:widowControl/>
              <w:jc w:val="center"/>
              <w:rPr>
                <w:rFonts w:hint="eastAsia" w:ascii="宋体" w:hAnsi="宋体" w:cs="宋体"/>
                <w:kern w:val="0"/>
                <w:sz w:val="20"/>
                <w:szCs w:val="20"/>
              </w:rPr>
            </w:pPr>
            <w:r>
              <w:rPr>
                <w:rFonts w:hint="eastAsia" w:ascii="宋体" w:hAnsi="宋体" w:cs="宋体"/>
                <w:kern w:val="0"/>
                <w:sz w:val="20"/>
                <w:szCs w:val="20"/>
              </w:rPr>
              <w:t>15</w:t>
            </w:r>
          </w:p>
        </w:tc>
      </w:tr>
      <w:tr w14:paraId="4514BA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1315" w:type="dxa"/>
            <w:vMerge w:val="restart"/>
            <w:shd w:val="clear" w:color="auto" w:fill="auto"/>
            <w:vAlign w:val="center"/>
          </w:tcPr>
          <w:p w14:paraId="3FD9F9B2">
            <w:pPr>
              <w:widowControl/>
              <w:jc w:val="center"/>
              <w:rPr>
                <w:rFonts w:hint="eastAsia" w:ascii="宋体" w:hAnsi="宋体" w:cs="宋体"/>
                <w:kern w:val="0"/>
                <w:sz w:val="20"/>
                <w:szCs w:val="20"/>
              </w:rPr>
            </w:pPr>
            <w:r>
              <w:rPr>
                <w:rFonts w:hint="eastAsia" w:ascii="宋体" w:hAnsi="宋体" w:cs="宋体"/>
                <w:kern w:val="0"/>
                <w:sz w:val="20"/>
                <w:szCs w:val="20"/>
              </w:rPr>
              <w:t>履职效能</w:t>
            </w:r>
          </w:p>
        </w:tc>
        <w:tc>
          <w:tcPr>
            <w:tcW w:w="983" w:type="dxa"/>
            <w:shd w:val="clear" w:color="auto" w:fill="auto"/>
            <w:vAlign w:val="center"/>
          </w:tcPr>
          <w:p w14:paraId="284D04F2">
            <w:pPr>
              <w:widowControl/>
              <w:jc w:val="center"/>
              <w:rPr>
                <w:rFonts w:hint="eastAsia" w:ascii="宋体" w:hAnsi="宋体" w:cs="宋体"/>
                <w:kern w:val="0"/>
                <w:sz w:val="20"/>
                <w:szCs w:val="20"/>
              </w:rPr>
            </w:pPr>
            <w:r>
              <w:rPr>
                <w:rFonts w:hint="eastAsia" w:ascii="宋体" w:hAnsi="宋体" w:cs="宋体"/>
                <w:kern w:val="0"/>
                <w:sz w:val="20"/>
                <w:szCs w:val="20"/>
              </w:rPr>
              <w:t>数量指标</w:t>
            </w:r>
          </w:p>
        </w:tc>
        <w:tc>
          <w:tcPr>
            <w:tcW w:w="1580" w:type="dxa"/>
            <w:gridSpan w:val="3"/>
            <w:shd w:val="clear" w:color="auto" w:fill="auto"/>
            <w:vAlign w:val="center"/>
          </w:tcPr>
          <w:p w14:paraId="2DC3853E">
            <w:pPr>
              <w:widowControl/>
              <w:jc w:val="center"/>
              <w:rPr>
                <w:rFonts w:hint="eastAsia" w:ascii="宋体" w:hAnsi="宋体" w:cs="宋体"/>
                <w:kern w:val="0"/>
                <w:sz w:val="20"/>
                <w:szCs w:val="20"/>
              </w:rPr>
            </w:pPr>
            <w:r>
              <w:rPr>
                <w:rFonts w:hint="eastAsia" w:ascii="宋体" w:hAnsi="宋体" w:cs="宋体"/>
                <w:kern w:val="0"/>
                <w:sz w:val="20"/>
                <w:szCs w:val="20"/>
              </w:rPr>
              <w:t>各类培训及学习次数</w:t>
            </w:r>
          </w:p>
        </w:tc>
        <w:tc>
          <w:tcPr>
            <w:tcW w:w="1192" w:type="dxa"/>
            <w:shd w:val="clear" w:color="auto" w:fill="auto"/>
            <w:vAlign w:val="center"/>
          </w:tcPr>
          <w:p w14:paraId="40DB6062">
            <w:pPr>
              <w:widowControl/>
              <w:jc w:val="center"/>
              <w:rPr>
                <w:rFonts w:hint="eastAsia" w:ascii="宋体" w:hAnsi="宋体" w:cs="宋体"/>
                <w:kern w:val="0"/>
                <w:sz w:val="20"/>
                <w:szCs w:val="20"/>
              </w:rPr>
            </w:pPr>
            <w:r>
              <w:rPr>
                <w:rFonts w:hint="eastAsia" w:ascii="宋体" w:hAnsi="宋体" w:cs="宋体"/>
                <w:kern w:val="0"/>
                <w:sz w:val="20"/>
                <w:szCs w:val="20"/>
              </w:rPr>
              <w:t>&gt;=22次</w:t>
            </w:r>
          </w:p>
        </w:tc>
        <w:tc>
          <w:tcPr>
            <w:tcW w:w="1449" w:type="dxa"/>
            <w:gridSpan w:val="2"/>
            <w:shd w:val="clear" w:color="auto" w:fill="auto"/>
            <w:vAlign w:val="center"/>
          </w:tcPr>
          <w:p w14:paraId="3B0D66AB">
            <w:pPr>
              <w:widowControl/>
              <w:jc w:val="center"/>
              <w:rPr>
                <w:rFonts w:hint="eastAsia" w:ascii="宋体" w:hAnsi="宋体" w:cs="宋体"/>
                <w:kern w:val="0"/>
                <w:sz w:val="20"/>
                <w:szCs w:val="20"/>
              </w:rPr>
            </w:pPr>
            <w:r>
              <w:rPr>
                <w:rFonts w:hint="eastAsia" w:ascii="宋体" w:hAnsi="宋体" w:cs="宋体"/>
                <w:kern w:val="0"/>
                <w:sz w:val="20"/>
                <w:szCs w:val="20"/>
              </w:rPr>
              <w:t>木垒县雀仁乡中心学校2023年工作计划</w:t>
            </w:r>
          </w:p>
        </w:tc>
        <w:tc>
          <w:tcPr>
            <w:tcW w:w="647" w:type="dxa"/>
            <w:shd w:val="clear" w:color="auto" w:fill="auto"/>
            <w:vAlign w:val="center"/>
          </w:tcPr>
          <w:p w14:paraId="0C288A83">
            <w:pPr>
              <w:widowControl/>
              <w:jc w:val="center"/>
              <w:rPr>
                <w:rFonts w:hint="eastAsia" w:ascii="宋体" w:hAnsi="宋体" w:cs="宋体"/>
                <w:kern w:val="0"/>
                <w:sz w:val="20"/>
                <w:szCs w:val="20"/>
              </w:rPr>
            </w:pPr>
            <w:r>
              <w:rPr>
                <w:rFonts w:hint="eastAsia" w:ascii="宋体" w:hAnsi="宋体" w:cs="宋体"/>
                <w:kern w:val="0"/>
                <w:sz w:val="20"/>
                <w:szCs w:val="20"/>
              </w:rPr>
              <w:t>15</w:t>
            </w:r>
          </w:p>
        </w:tc>
        <w:tc>
          <w:tcPr>
            <w:tcW w:w="753" w:type="dxa"/>
            <w:shd w:val="clear" w:color="auto" w:fill="auto"/>
            <w:vAlign w:val="center"/>
          </w:tcPr>
          <w:p w14:paraId="0A5675A5">
            <w:pPr>
              <w:widowControl/>
              <w:jc w:val="center"/>
              <w:rPr>
                <w:rFonts w:hint="eastAsia" w:ascii="宋体" w:hAnsi="宋体" w:cs="宋体"/>
                <w:kern w:val="0"/>
                <w:sz w:val="20"/>
                <w:szCs w:val="20"/>
              </w:rPr>
            </w:pPr>
            <w:r>
              <w:rPr>
                <w:rFonts w:hint="eastAsia" w:ascii="宋体" w:hAnsi="宋体" w:cs="宋体"/>
                <w:kern w:val="0"/>
                <w:sz w:val="20"/>
                <w:szCs w:val="20"/>
              </w:rPr>
              <w:t>22次</w:t>
            </w:r>
          </w:p>
        </w:tc>
        <w:tc>
          <w:tcPr>
            <w:tcW w:w="603" w:type="dxa"/>
            <w:shd w:val="clear" w:color="auto" w:fill="auto"/>
            <w:vAlign w:val="center"/>
          </w:tcPr>
          <w:p w14:paraId="31EBFB4E">
            <w:pPr>
              <w:widowControl/>
              <w:jc w:val="center"/>
              <w:rPr>
                <w:rFonts w:hint="eastAsia" w:ascii="宋体" w:hAnsi="宋体" w:cs="宋体"/>
                <w:kern w:val="0"/>
                <w:sz w:val="20"/>
                <w:szCs w:val="20"/>
              </w:rPr>
            </w:pPr>
            <w:r>
              <w:rPr>
                <w:rFonts w:hint="eastAsia" w:ascii="宋体" w:hAnsi="宋体" w:cs="宋体"/>
                <w:kern w:val="0"/>
                <w:sz w:val="20"/>
                <w:szCs w:val="20"/>
              </w:rPr>
              <w:t>15</w:t>
            </w:r>
          </w:p>
        </w:tc>
      </w:tr>
      <w:tr w14:paraId="2CBF72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1315" w:type="dxa"/>
            <w:vMerge w:val="continue"/>
            <w:vAlign w:val="center"/>
          </w:tcPr>
          <w:p w14:paraId="473BE314">
            <w:pPr>
              <w:widowControl/>
              <w:jc w:val="left"/>
              <w:rPr>
                <w:rFonts w:hint="eastAsia" w:ascii="宋体" w:hAnsi="宋体" w:cs="宋体"/>
                <w:kern w:val="0"/>
                <w:sz w:val="20"/>
                <w:szCs w:val="20"/>
              </w:rPr>
            </w:pPr>
          </w:p>
        </w:tc>
        <w:tc>
          <w:tcPr>
            <w:tcW w:w="983" w:type="dxa"/>
            <w:shd w:val="clear" w:color="auto" w:fill="auto"/>
            <w:vAlign w:val="center"/>
          </w:tcPr>
          <w:p w14:paraId="5F835E90">
            <w:pPr>
              <w:widowControl/>
              <w:jc w:val="center"/>
              <w:rPr>
                <w:rFonts w:hint="eastAsia" w:ascii="宋体" w:hAnsi="宋体" w:cs="宋体"/>
                <w:kern w:val="0"/>
                <w:sz w:val="20"/>
                <w:szCs w:val="20"/>
              </w:rPr>
            </w:pPr>
            <w:r>
              <w:rPr>
                <w:rFonts w:hint="eastAsia" w:ascii="宋体" w:hAnsi="宋体" w:cs="宋体"/>
                <w:kern w:val="0"/>
                <w:sz w:val="20"/>
                <w:szCs w:val="20"/>
              </w:rPr>
              <w:t>时效指标</w:t>
            </w:r>
          </w:p>
        </w:tc>
        <w:tc>
          <w:tcPr>
            <w:tcW w:w="1580" w:type="dxa"/>
            <w:gridSpan w:val="3"/>
            <w:shd w:val="clear" w:color="auto" w:fill="auto"/>
            <w:vAlign w:val="center"/>
          </w:tcPr>
          <w:p w14:paraId="4DCFB485">
            <w:pPr>
              <w:widowControl/>
              <w:jc w:val="center"/>
              <w:rPr>
                <w:rFonts w:hint="eastAsia" w:ascii="宋体" w:hAnsi="宋体" w:cs="宋体"/>
                <w:kern w:val="0"/>
                <w:sz w:val="20"/>
                <w:szCs w:val="20"/>
              </w:rPr>
            </w:pPr>
            <w:r>
              <w:rPr>
                <w:rFonts w:hint="eastAsia" w:ascii="宋体" w:hAnsi="宋体" w:cs="宋体"/>
                <w:kern w:val="0"/>
                <w:sz w:val="20"/>
                <w:szCs w:val="20"/>
              </w:rPr>
              <w:t>各类考试完成及时率</w:t>
            </w:r>
          </w:p>
        </w:tc>
        <w:tc>
          <w:tcPr>
            <w:tcW w:w="1192" w:type="dxa"/>
            <w:shd w:val="clear" w:color="auto" w:fill="auto"/>
            <w:vAlign w:val="center"/>
          </w:tcPr>
          <w:p w14:paraId="344D35F9">
            <w:pPr>
              <w:widowControl/>
              <w:jc w:val="center"/>
              <w:rPr>
                <w:rFonts w:hint="eastAsia" w:ascii="宋体" w:hAnsi="宋体" w:cs="宋体"/>
                <w:kern w:val="0"/>
                <w:sz w:val="20"/>
                <w:szCs w:val="20"/>
              </w:rPr>
            </w:pPr>
            <w:r>
              <w:rPr>
                <w:rFonts w:hint="eastAsia" w:ascii="宋体" w:hAnsi="宋体" w:cs="宋体"/>
                <w:kern w:val="0"/>
                <w:sz w:val="20"/>
                <w:szCs w:val="20"/>
              </w:rPr>
              <w:t>&gt;=100%</w:t>
            </w:r>
          </w:p>
        </w:tc>
        <w:tc>
          <w:tcPr>
            <w:tcW w:w="1449" w:type="dxa"/>
            <w:gridSpan w:val="2"/>
            <w:shd w:val="clear" w:color="auto" w:fill="auto"/>
            <w:vAlign w:val="center"/>
          </w:tcPr>
          <w:p w14:paraId="111C5B44">
            <w:pPr>
              <w:widowControl/>
              <w:jc w:val="center"/>
              <w:rPr>
                <w:rFonts w:hint="eastAsia" w:ascii="宋体" w:hAnsi="宋体" w:cs="宋体"/>
                <w:kern w:val="0"/>
                <w:sz w:val="20"/>
                <w:szCs w:val="20"/>
              </w:rPr>
            </w:pPr>
            <w:r>
              <w:rPr>
                <w:rFonts w:hint="eastAsia" w:ascii="宋体" w:hAnsi="宋体" w:cs="宋体"/>
                <w:kern w:val="0"/>
                <w:sz w:val="20"/>
                <w:szCs w:val="20"/>
              </w:rPr>
              <w:t>木垒哈萨克自治县雀仁乡中心学校机构改革方案</w:t>
            </w:r>
          </w:p>
        </w:tc>
        <w:tc>
          <w:tcPr>
            <w:tcW w:w="647" w:type="dxa"/>
            <w:shd w:val="clear" w:color="auto" w:fill="auto"/>
            <w:vAlign w:val="center"/>
          </w:tcPr>
          <w:p w14:paraId="07E5EFF6">
            <w:pPr>
              <w:widowControl/>
              <w:jc w:val="center"/>
              <w:rPr>
                <w:rFonts w:hint="eastAsia" w:ascii="宋体" w:hAnsi="宋体" w:cs="宋体"/>
                <w:kern w:val="0"/>
                <w:sz w:val="20"/>
                <w:szCs w:val="20"/>
              </w:rPr>
            </w:pPr>
            <w:r>
              <w:rPr>
                <w:rFonts w:hint="eastAsia" w:ascii="宋体" w:hAnsi="宋体" w:cs="宋体"/>
                <w:kern w:val="0"/>
                <w:sz w:val="20"/>
                <w:szCs w:val="20"/>
              </w:rPr>
              <w:t>15</w:t>
            </w:r>
          </w:p>
        </w:tc>
        <w:tc>
          <w:tcPr>
            <w:tcW w:w="753" w:type="dxa"/>
            <w:shd w:val="clear" w:color="auto" w:fill="auto"/>
            <w:vAlign w:val="center"/>
          </w:tcPr>
          <w:p w14:paraId="1B3362F2">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603" w:type="dxa"/>
            <w:shd w:val="clear" w:color="auto" w:fill="auto"/>
            <w:vAlign w:val="center"/>
          </w:tcPr>
          <w:p w14:paraId="1D67A8B2">
            <w:pPr>
              <w:widowControl/>
              <w:jc w:val="center"/>
              <w:rPr>
                <w:rFonts w:hint="eastAsia" w:ascii="宋体" w:hAnsi="宋体" w:cs="宋体"/>
                <w:kern w:val="0"/>
                <w:sz w:val="20"/>
                <w:szCs w:val="20"/>
              </w:rPr>
            </w:pPr>
            <w:r>
              <w:rPr>
                <w:rFonts w:hint="eastAsia" w:ascii="宋体" w:hAnsi="宋体" w:cs="宋体"/>
                <w:kern w:val="0"/>
                <w:sz w:val="20"/>
                <w:szCs w:val="20"/>
              </w:rPr>
              <w:t>15</w:t>
            </w:r>
          </w:p>
        </w:tc>
      </w:tr>
      <w:tr w14:paraId="7E1E9D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1315" w:type="dxa"/>
            <w:shd w:val="clear" w:color="auto" w:fill="auto"/>
            <w:vAlign w:val="center"/>
          </w:tcPr>
          <w:p w14:paraId="26CA0B01">
            <w:pPr>
              <w:widowControl/>
              <w:jc w:val="center"/>
              <w:rPr>
                <w:rFonts w:hint="eastAsia" w:ascii="宋体" w:hAnsi="宋体" w:cs="宋体"/>
                <w:kern w:val="0"/>
                <w:sz w:val="20"/>
                <w:szCs w:val="20"/>
              </w:rPr>
            </w:pPr>
            <w:r>
              <w:rPr>
                <w:rFonts w:hint="eastAsia" w:ascii="宋体" w:hAnsi="宋体" w:cs="宋体"/>
                <w:kern w:val="0"/>
                <w:sz w:val="20"/>
                <w:szCs w:val="20"/>
              </w:rPr>
              <w:t>服务对象满意度</w:t>
            </w:r>
          </w:p>
        </w:tc>
        <w:tc>
          <w:tcPr>
            <w:tcW w:w="983" w:type="dxa"/>
            <w:shd w:val="clear" w:color="auto" w:fill="auto"/>
            <w:vAlign w:val="center"/>
          </w:tcPr>
          <w:p w14:paraId="3014F23E">
            <w:pPr>
              <w:widowControl/>
              <w:jc w:val="center"/>
              <w:rPr>
                <w:rFonts w:hint="eastAsia" w:ascii="宋体" w:hAnsi="宋体" w:cs="宋体"/>
                <w:kern w:val="0"/>
                <w:sz w:val="20"/>
                <w:szCs w:val="20"/>
              </w:rPr>
            </w:pPr>
            <w:r>
              <w:rPr>
                <w:rFonts w:hint="eastAsia" w:ascii="宋体" w:hAnsi="宋体" w:cs="宋体"/>
                <w:kern w:val="0"/>
                <w:sz w:val="20"/>
                <w:szCs w:val="20"/>
              </w:rPr>
              <w:t>质量指标</w:t>
            </w:r>
          </w:p>
        </w:tc>
        <w:tc>
          <w:tcPr>
            <w:tcW w:w="1580" w:type="dxa"/>
            <w:gridSpan w:val="3"/>
            <w:shd w:val="clear" w:color="auto" w:fill="auto"/>
            <w:vAlign w:val="center"/>
          </w:tcPr>
          <w:p w14:paraId="2E9DF5F0">
            <w:pPr>
              <w:widowControl/>
              <w:jc w:val="center"/>
              <w:rPr>
                <w:rFonts w:hint="eastAsia" w:ascii="宋体" w:hAnsi="宋体" w:cs="宋体"/>
                <w:kern w:val="0"/>
                <w:sz w:val="20"/>
                <w:szCs w:val="20"/>
              </w:rPr>
            </w:pPr>
            <w:r>
              <w:rPr>
                <w:rFonts w:hint="eastAsia" w:ascii="宋体" w:hAnsi="宋体" w:cs="宋体"/>
                <w:kern w:val="0"/>
                <w:sz w:val="20"/>
                <w:szCs w:val="20"/>
              </w:rPr>
              <w:t>师生满意度</w:t>
            </w:r>
          </w:p>
        </w:tc>
        <w:tc>
          <w:tcPr>
            <w:tcW w:w="1192" w:type="dxa"/>
            <w:shd w:val="clear" w:color="auto" w:fill="auto"/>
            <w:vAlign w:val="center"/>
          </w:tcPr>
          <w:p w14:paraId="7CF0C19D">
            <w:pPr>
              <w:widowControl/>
              <w:jc w:val="center"/>
              <w:rPr>
                <w:rFonts w:hint="eastAsia" w:ascii="宋体" w:hAnsi="宋体" w:cs="宋体"/>
                <w:kern w:val="0"/>
                <w:sz w:val="20"/>
                <w:szCs w:val="20"/>
              </w:rPr>
            </w:pPr>
            <w:r>
              <w:rPr>
                <w:rFonts w:hint="eastAsia" w:ascii="宋体" w:hAnsi="宋体" w:cs="宋体"/>
                <w:kern w:val="0"/>
                <w:sz w:val="20"/>
                <w:szCs w:val="20"/>
              </w:rPr>
              <w:t>&gt;=95%</w:t>
            </w:r>
          </w:p>
        </w:tc>
        <w:tc>
          <w:tcPr>
            <w:tcW w:w="1449" w:type="dxa"/>
            <w:gridSpan w:val="2"/>
            <w:shd w:val="clear" w:color="auto" w:fill="auto"/>
            <w:vAlign w:val="center"/>
          </w:tcPr>
          <w:p w14:paraId="3B40A48A">
            <w:pPr>
              <w:widowControl/>
              <w:jc w:val="center"/>
              <w:rPr>
                <w:rFonts w:hint="eastAsia" w:ascii="宋体" w:hAnsi="宋体" w:cs="宋体"/>
                <w:kern w:val="0"/>
                <w:sz w:val="20"/>
                <w:szCs w:val="20"/>
              </w:rPr>
            </w:pPr>
            <w:r>
              <w:rPr>
                <w:rFonts w:hint="eastAsia" w:ascii="宋体" w:hAnsi="宋体" w:cs="宋体"/>
                <w:kern w:val="0"/>
                <w:sz w:val="20"/>
                <w:szCs w:val="20"/>
              </w:rPr>
              <w:t>木垒哈萨克自治县雀仁乡中心学校机构改革方案</w:t>
            </w:r>
          </w:p>
        </w:tc>
        <w:tc>
          <w:tcPr>
            <w:tcW w:w="647" w:type="dxa"/>
            <w:shd w:val="clear" w:color="auto" w:fill="auto"/>
            <w:vAlign w:val="center"/>
          </w:tcPr>
          <w:p w14:paraId="39F50964">
            <w:pPr>
              <w:widowControl/>
              <w:jc w:val="center"/>
              <w:rPr>
                <w:rFonts w:hint="eastAsia" w:ascii="宋体" w:hAnsi="宋体" w:cs="宋体"/>
                <w:kern w:val="0"/>
                <w:sz w:val="20"/>
                <w:szCs w:val="20"/>
              </w:rPr>
            </w:pPr>
            <w:r>
              <w:rPr>
                <w:rFonts w:hint="eastAsia" w:ascii="宋体" w:hAnsi="宋体" w:cs="宋体"/>
                <w:kern w:val="0"/>
                <w:sz w:val="20"/>
                <w:szCs w:val="20"/>
              </w:rPr>
              <w:t>5</w:t>
            </w:r>
          </w:p>
        </w:tc>
        <w:tc>
          <w:tcPr>
            <w:tcW w:w="753" w:type="dxa"/>
            <w:shd w:val="clear" w:color="auto" w:fill="auto"/>
            <w:vAlign w:val="center"/>
          </w:tcPr>
          <w:p w14:paraId="08761135">
            <w:pPr>
              <w:widowControl/>
              <w:jc w:val="center"/>
              <w:rPr>
                <w:rFonts w:hint="eastAsia" w:ascii="宋体" w:hAnsi="宋体" w:cs="宋体"/>
                <w:kern w:val="0"/>
                <w:sz w:val="20"/>
                <w:szCs w:val="20"/>
              </w:rPr>
            </w:pPr>
            <w:r>
              <w:rPr>
                <w:rFonts w:hint="eastAsia" w:ascii="宋体" w:hAnsi="宋体" w:cs="宋体"/>
                <w:kern w:val="0"/>
                <w:sz w:val="20"/>
                <w:szCs w:val="20"/>
              </w:rPr>
              <w:t>95%</w:t>
            </w:r>
          </w:p>
        </w:tc>
        <w:tc>
          <w:tcPr>
            <w:tcW w:w="603" w:type="dxa"/>
            <w:shd w:val="clear" w:color="auto" w:fill="auto"/>
            <w:vAlign w:val="center"/>
          </w:tcPr>
          <w:p w14:paraId="347EC37F">
            <w:pPr>
              <w:widowControl/>
              <w:jc w:val="center"/>
              <w:rPr>
                <w:rFonts w:hint="eastAsia" w:ascii="宋体" w:hAnsi="宋体" w:cs="宋体"/>
                <w:kern w:val="0"/>
                <w:sz w:val="20"/>
                <w:szCs w:val="20"/>
              </w:rPr>
            </w:pPr>
            <w:r>
              <w:rPr>
                <w:rFonts w:hint="eastAsia" w:ascii="宋体" w:hAnsi="宋体" w:cs="宋体"/>
                <w:kern w:val="0"/>
                <w:sz w:val="20"/>
                <w:szCs w:val="20"/>
              </w:rPr>
              <w:t>5</w:t>
            </w:r>
          </w:p>
        </w:tc>
      </w:tr>
    </w:tbl>
    <w:p w14:paraId="469C19EA">
      <w:pPr>
        <w:ind w:firstLine="643" w:firstLineChars="200"/>
        <w:jc w:val="left"/>
        <w:rPr>
          <w:rFonts w:hint="eastAsia" w:ascii="仿宋_GB2312" w:hAnsi="仿宋_GB2312" w:eastAsia="仿宋_GB2312" w:cs="仿宋_GB2312"/>
          <w:b/>
          <w:bCs/>
          <w:kern w:val="0"/>
          <w:sz w:val="32"/>
          <w:szCs w:val="32"/>
        </w:rPr>
      </w:pPr>
    </w:p>
    <w:p w14:paraId="25561184">
      <w:pPr>
        <w:ind w:firstLine="640" w:firstLineChars="200"/>
        <w:jc w:val="left"/>
        <w:rPr>
          <w:rFonts w:hint="eastAsia" w:ascii="黑体" w:hAnsi="黑体" w:eastAsia="黑体" w:cs="宋体"/>
          <w:bCs/>
          <w:kern w:val="0"/>
          <w:sz w:val="32"/>
          <w:szCs w:val="32"/>
        </w:rPr>
      </w:pPr>
      <w:r>
        <w:rPr>
          <w:rFonts w:hint="eastAsia" w:ascii="黑体" w:hAnsi="黑体" w:eastAsia="黑体" w:cs="宋体"/>
          <w:bCs/>
          <w:kern w:val="0"/>
          <w:sz w:val="32"/>
          <w:szCs w:val="32"/>
        </w:rPr>
        <w:t>十二、其他需说明的事项</w:t>
      </w:r>
    </w:p>
    <w:p w14:paraId="71EAC340">
      <w:pPr>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我单位本年资金紧张未购买办公用品及设备。因此政府采购金额支出为0.00万元。其中授予中小企业合同金额、授予小微企业合同金额为0.00万元。</w:t>
      </w:r>
    </w:p>
    <w:p w14:paraId="0BF6161A">
      <w:pPr>
        <w:jc w:val="center"/>
        <w:outlineLvl w:val="0"/>
        <w:rPr>
          <w:rFonts w:hint="eastAsia" w:ascii="黑体" w:hAnsi="黑体" w:eastAsia="黑体"/>
          <w:sz w:val="32"/>
          <w:szCs w:val="32"/>
        </w:rPr>
      </w:pPr>
      <w:bookmarkStart w:id="30" w:name="_Toc24143"/>
      <w:bookmarkStart w:id="31" w:name="_Toc3250"/>
      <w:r>
        <w:rPr>
          <w:rFonts w:hint="eastAsia" w:ascii="黑体" w:hAnsi="黑体" w:eastAsia="黑体"/>
          <w:sz w:val="32"/>
          <w:szCs w:val="32"/>
        </w:rPr>
        <w:br w:type="page"/>
      </w:r>
      <w:r>
        <w:rPr>
          <w:rFonts w:hint="eastAsia" w:ascii="黑体" w:hAnsi="黑体" w:eastAsia="黑体"/>
          <w:sz w:val="32"/>
          <w:szCs w:val="32"/>
        </w:rPr>
        <w:t>第三部分 专业名词解释</w:t>
      </w:r>
      <w:bookmarkEnd w:id="30"/>
      <w:bookmarkEnd w:id="31"/>
    </w:p>
    <w:p w14:paraId="7ABA9E56">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14:paraId="6459409A">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14:paraId="4F103B6C">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14:paraId="3CC47228">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14:paraId="575C2CCA">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14:paraId="062F2D6F">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14:paraId="5AEEABF4">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14:paraId="11478510">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FC86CFB">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14:paraId="4709E5E6">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14:paraId="61C58730">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14:paraId="71E02615">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14:paraId="3F21F82D">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153ABCA1">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14:paraId="09631DA5">
      <w:pPr>
        <w:ind w:firstLine="640" w:firstLineChars="200"/>
        <w:jc w:val="center"/>
        <w:outlineLvl w:val="0"/>
        <w:rPr>
          <w:rFonts w:hint="eastAsia"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14:paraId="3A74FC69">
      <w:pPr>
        <w:ind w:firstLine="640" w:firstLineChars="200"/>
        <w:outlineLvl w:val="1"/>
        <w:rPr>
          <w:rFonts w:hint="eastAsia" w:ascii="黑体" w:hAnsi="黑体" w:eastAsia="仿宋_GB2312" w:cs="宋体"/>
          <w:bCs/>
          <w:kern w:val="0"/>
          <w:sz w:val="32"/>
          <w:szCs w:val="32"/>
        </w:rPr>
      </w:pPr>
      <w:bookmarkStart w:id="32" w:name="_Toc2183"/>
      <w:bookmarkStart w:id="33" w:name="_Toc6062"/>
      <w:r>
        <w:rPr>
          <w:rFonts w:hint="eastAsia" w:ascii="黑体" w:hAnsi="黑体" w:eastAsia="仿宋_GB2312" w:cs="宋体"/>
          <w:bCs/>
          <w:kern w:val="0"/>
          <w:sz w:val="32"/>
          <w:szCs w:val="32"/>
        </w:rPr>
        <w:t>一、《收入支出决算总表》</w:t>
      </w:r>
      <w:bookmarkEnd w:id="32"/>
      <w:bookmarkEnd w:id="33"/>
    </w:p>
    <w:p w14:paraId="35042E33">
      <w:pPr>
        <w:ind w:firstLine="640" w:firstLineChars="200"/>
        <w:outlineLvl w:val="1"/>
        <w:rPr>
          <w:rFonts w:hint="eastAsia" w:ascii="黑体" w:hAnsi="黑体" w:eastAsia="仿宋_GB2312" w:cs="宋体"/>
          <w:bCs/>
          <w:kern w:val="0"/>
          <w:sz w:val="32"/>
          <w:szCs w:val="32"/>
        </w:rPr>
      </w:pPr>
      <w:bookmarkStart w:id="34" w:name="_Toc24532"/>
      <w:bookmarkStart w:id="35" w:name="_Toc30364"/>
      <w:r>
        <w:rPr>
          <w:rFonts w:hint="eastAsia" w:ascii="黑体" w:hAnsi="黑体" w:eastAsia="仿宋_GB2312" w:cs="宋体"/>
          <w:bCs/>
          <w:kern w:val="0"/>
          <w:sz w:val="32"/>
          <w:szCs w:val="32"/>
        </w:rPr>
        <w:t>二、《收入决算表》</w:t>
      </w:r>
      <w:bookmarkEnd w:id="34"/>
      <w:bookmarkEnd w:id="35"/>
    </w:p>
    <w:p w14:paraId="7C6D1D23">
      <w:pPr>
        <w:ind w:firstLine="640" w:firstLineChars="200"/>
        <w:outlineLvl w:val="1"/>
        <w:rPr>
          <w:rFonts w:hint="eastAsia" w:ascii="黑体" w:hAnsi="黑体" w:eastAsia="仿宋_GB2312" w:cs="宋体"/>
          <w:bCs/>
          <w:kern w:val="0"/>
          <w:sz w:val="32"/>
          <w:szCs w:val="32"/>
        </w:rPr>
      </w:pPr>
      <w:bookmarkStart w:id="36" w:name="_Toc21304"/>
      <w:bookmarkStart w:id="37" w:name="_Toc32434"/>
      <w:r>
        <w:rPr>
          <w:rFonts w:hint="eastAsia" w:ascii="黑体" w:hAnsi="黑体" w:eastAsia="仿宋_GB2312" w:cs="宋体"/>
          <w:bCs/>
          <w:kern w:val="0"/>
          <w:sz w:val="32"/>
          <w:szCs w:val="32"/>
        </w:rPr>
        <w:t>三、《支出决算表》</w:t>
      </w:r>
      <w:bookmarkEnd w:id="36"/>
      <w:bookmarkEnd w:id="37"/>
    </w:p>
    <w:p w14:paraId="0103B3EA">
      <w:pPr>
        <w:ind w:firstLine="640" w:firstLineChars="200"/>
        <w:outlineLvl w:val="1"/>
        <w:rPr>
          <w:rFonts w:hint="eastAsia" w:ascii="黑体" w:hAnsi="黑体" w:eastAsia="仿宋_GB2312" w:cs="宋体"/>
          <w:bCs/>
          <w:kern w:val="0"/>
          <w:sz w:val="32"/>
          <w:szCs w:val="32"/>
        </w:rPr>
      </w:pPr>
      <w:bookmarkStart w:id="38" w:name="_Toc28786"/>
      <w:bookmarkStart w:id="39" w:name="_Toc14238"/>
      <w:r>
        <w:rPr>
          <w:rFonts w:hint="eastAsia" w:ascii="黑体" w:hAnsi="黑体" w:eastAsia="仿宋_GB2312" w:cs="宋体"/>
          <w:bCs/>
          <w:kern w:val="0"/>
          <w:sz w:val="32"/>
          <w:szCs w:val="32"/>
        </w:rPr>
        <w:t>四、《财政拨款收入支出决算总表》</w:t>
      </w:r>
      <w:bookmarkEnd w:id="38"/>
      <w:bookmarkEnd w:id="39"/>
    </w:p>
    <w:p w14:paraId="0619D694">
      <w:pPr>
        <w:ind w:firstLine="640" w:firstLineChars="200"/>
        <w:outlineLvl w:val="1"/>
        <w:rPr>
          <w:rFonts w:hint="eastAsia" w:ascii="黑体" w:hAnsi="黑体" w:eastAsia="仿宋_GB2312" w:cs="宋体"/>
          <w:bCs/>
          <w:kern w:val="0"/>
          <w:sz w:val="32"/>
          <w:szCs w:val="32"/>
        </w:rPr>
      </w:pPr>
      <w:bookmarkStart w:id="40" w:name="_Toc14869"/>
      <w:bookmarkStart w:id="41" w:name="_Toc10347"/>
      <w:r>
        <w:rPr>
          <w:rFonts w:hint="eastAsia" w:ascii="黑体" w:hAnsi="黑体" w:eastAsia="仿宋_GB2312" w:cs="宋体"/>
          <w:bCs/>
          <w:kern w:val="0"/>
          <w:sz w:val="32"/>
          <w:szCs w:val="32"/>
        </w:rPr>
        <w:t>五、《一般公共预算财政拨款支出决算表》</w:t>
      </w:r>
      <w:bookmarkEnd w:id="40"/>
      <w:bookmarkEnd w:id="41"/>
    </w:p>
    <w:p w14:paraId="28499295">
      <w:pPr>
        <w:ind w:firstLine="640" w:firstLineChars="200"/>
        <w:outlineLvl w:val="1"/>
        <w:rPr>
          <w:rFonts w:hint="eastAsia" w:ascii="黑体" w:hAnsi="黑体" w:eastAsia="仿宋_GB2312" w:cs="宋体"/>
          <w:bCs/>
          <w:kern w:val="0"/>
          <w:sz w:val="32"/>
          <w:szCs w:val="32"/>
        </w:rPr>
      </w:pPr>
      <w:bookmarkStart w:id="42" w:name="_Toc5626"/>
      <w:bookmarkStart w:id="43" w:name="_Toc8884"/>
      <w:r>
        <w:rPr>
          <w:rFonts w:hint="eastAsia" w:ascii="黑体" w:hAnsi="黑体" w:eastAsia="仿宋_GB2312" w:cs="宋体"/>
          <w:bCs/>
          <w:kern w:val="0"/>
          <w:sz w:val="32"/>
          <w:szCs w:val="32"/>
        </w:rPr>
        <w:t>六、《一般公共预算财政拨款基本支出决算表》</w:t>
      </w:r>
      <w:bookmarkEnd w:id="42"/>
      <w:bookmarkEnd w:id="43"/>
    </w:p>
    <w:p w14:paraId="2989208D">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29106"/>
      <w:bookmarkStart w:id="45" w:name="_Toc32663"/>
      <w:r>
        <w:rPr>
          <w:rFonts w:hint="eastAsia" w:ascii="黑体" w:hAnsi="黑体" w:eastAsia="仿宋_GB2312" w:cs="宋体"/>
          <w:bCs/>
          <w:kern w:val="0"/>
          <w:sz w:val="32"/>
          <w:szCs w:val="32"/>
        </w:rPr>
        <w:t>《财政拨款“三公”经费支出决算表》</w:t>
      </w:r>
      <w:bookmarkEnd w:id="44"/>
      <w:bookmarkEnd w:id="45"/>
    </w:p>
    <w:p w14:paraId="0CB2812D">
      <w:pPr>
        <w:ind w:firstLine="640" w:firstLineChars="200"/>
        <w:outlineLvl w:val="1"/>
        <w:rPr>
          <w:rFonts w:hint="eastAsia" w:ascii="黑体" w:hAnsi="黑体" w:eastAsia="仿宋_GB2312" w:cs="宋体"/>
          <w:bCs/>
          <w:kern w:val="0"/>
          <w:sz w:val="32"/>
          <w:szCs w:val="32"/>
        </w:rPr>
      </w:pPr>
      <w:bookmarkStart w:id="46" w:name="_Toc5453"/>
      <w:bookmarkStart w:id="47" w:name="_Toc7643"/>
      <w:r>
        <w:rPr>
          <w:rFonts w:hint="eastAsia" w:ascii="黑体" w:hAnsi="黑体" w:eastAsia="仿宋_GB2312" w:cs="宋体"/>
          <w:bCs/>
          <w:kern w:val="0"/>
          <w:sz w:val="32"/>
          <w:szCs w:val="32"/>
        </w:rPr>
        <w:t>八、《政府性基金预算财政拨款收入支出决算表》</w:t>
      </w:r>
      <w:bookmarkEnd w:id="46"/>
      <w:bookmarkEnd w:id="47"/>
    </w:p>
    <w:p w14:paraId="3712632B">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14:paraId="57733336">
      <w:pPr>
        <w:ind w:firstLine="640" w:firstLineChars="200"/>
        <w:rPr>
          <w:rFonts w:ascii="仿宋_GB2312" w:eastAsia="仿宋_GB2312"/>
          <w:sz w:val="32"/>
          <w:szCs w:val="32"/>
        </w:rPr>
      </w:pPr>
    </w:p>
    <w:p w14:paraId="798084D1">
      <w:pPr>
        <w:ind w:firstLine="640" w:firstLineChars="200"/>
        <w:outlineLvl w:val="1"/>
        <w:rPr>
          <w:rFonts w:hint="eastAsia" w:ascii="黑体" w:hAnsi="黑体" w:eastAsia="黑体" w:cs="宋体"/>
          <w:bCs/>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EC701C">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8B9B24B">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48B9B24B">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yOGZmZWJiZjkzMTc5MjUxM2FlYjUzNmFjOTJhZmYifQ=="/>
    <w:docVar w:name="KSO_WPS_MARK_KEY" w:val="41ee2a61-2d54-4f93-83be-afdb9a40d732"/>
  </w:docVars>
  <w:rsids>
    <w:rsidRoot w:val="006F4B4E"/>
    <w:rsid w:val="000371B1"/>
    <w:rsid w:val="00070201"/>
    <w:rsid w:val="001A3ED6"/>
    <w:rsid w:val="00213C59"/>
    <w:rsid w:val="002A4419"/>
    <w:rsid w:val="002D11A2"/>
    <w:rsid w:val="003210CE"/>
    <w:rsid w:val="0034706D"/>
    <w:rsid w:val="003F7569"/>
    <w:rsid w:val="004034B3"/>
    <w:rsid w:val="00536708"/>
    <w:rsid w:val="005D654E"/>
    <w:rsid w:val="006F4B4E"/>
    <w:rsid w:val="007B0CA0"/>
    <w:rsid w:val="007C21BF"/>
    <w:rsid w:val="00862F49"/>
    <w:rsid w:val="008E6D4F"/>
    <w:rsid w:val="009A5D15"/>
    <w:rsid w:val="00A44183"/>
    <w:rsid w:val="00B64225"/>
    <w:rsid w:val="00B70D59"/>
    <w:rsid w:val="00C525B8"/>
    <w:rsid w:val="00C6420D"/>
    <w:rsid w:val="00D2612B"/>
    <w:rsid w:val="00D539B0"/>
    <w:rsid w:val="00E15CC2"/>
    <w:rsid w:val="00E83810"/>
    <w:rsid w:val="00EE55DC"/>
    <w:rsid w:val="00F52A8D"/>
    <w:rsid w:val="00FD7B7E"/>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5713B6"/>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B847DE"/>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DC7E6A"/>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5801</Words>
  <Characters>6624</Characters>
  <Lines>55</Lines>
  <Paragraphs>15</Paragraphs>
  <TotalTime>4</TotalTime>
  <ScaleCrop>false</ScaleCrop>
  <LinksUpToDate>false</LinksUpToDate>
  <CharactersWithSpaces>6652</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哎呦喂</cp:lastModifiedBy>
  <dcterms:modified xsi:type="dcterms:W3CDTF">2024-12-04T08:42:26Z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D624B15633CD43C8BF9435464A96BF70</vt:lpwstr>
  </property>
</Properties>
</file>